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8B31" w14:textId="2A9EDF4E" w:rsidR="00C60A8D" w:rsidRDefault="003464C4">
      <w:pPr>
        <w:pStyle w:val="Heading1"/>
        <w:ind w:left="1065"/>
        <w:rPr>
          <w:u w:val="none"/>
        </w:rPr>
      </w:pPr>
      <w:r>
        <w:rPr>
          <w:u w:val="thick"/>
        </w:rPr>
        <w:t xml:space="preserve">Treasurers Report </w:t>
      </w:r>
      <w:r w:rsidR="009B04B4">
        <w:rPr>
          <w:u w:val="thick"/>
        </w:rPr>
        <w:t>15/4</w:t>
      </w:r>
      <w:r>
        <w:rPr>
          <w:u w:val="thick"/>
        </w:rPr>
        <w:t>/19 GDTA trading as Gosford Tennis Club</w:t>
      </w:r>
    </w:p>
    <w:p w14:paraId="5B4786FA" w14:textId="77777777" w:rsidR="00C60A8D" w:rsidRDefault="003464C4">
      <w:pPr>
        <w:pStyle w:val="Heading2"/>
        <w:spacing w:before="218"/>
        <w:rPr>
          <w:u w:val="none"/>
        </w:rPr>
      </w:pPr>
      <w:r>
        <w:rPr>
          <w:u w:val="thick"/>
        </w:rPr>
        <w:t>Current Position</w:t>
      </w:r>
    </w:p>
    <w:p w14:paraId="62121D27" w14:textId="35448EC3" w:rsidR="00C60A8D" w:rsidRDefault="003464C4">
      <w:pPr>
        <w:pStyle w:val="BodyText"/>
        <w:spacing w:before="184"/>
        <w:ind w:left="119"/>
      </w:pPr>
      <w:r>
        <w:t xml:space="preserve">The current cash surplus position as at </w:t>
      </w:r>
      <w:r w:rsidR="009B04B4">
        <w:t>13</w:t>
      </w:r>
      <w:r>
        <w:t>/</w:t>
      </w:r>
      <w:r w:rsidR="009B04B4">
        <w:t>4</w:t>
      </w:r>
      <w:r>
        <w:t>/19 is as follows:</w:t>
      </w:r>
    </w:p>
    <w:p w14:paraId="6BF5566E" w14:textId="77777777" w:rsidR="00C60A8D" w:rsidRDefault="00C60A8D">
      <w:pPr>
        <w:pStyle w:val="BodyText"/>
        <w:spacing w:before="3" w:after="1"/>
        <w:ind w:left="0"/>
        <w:rPr>
          <w:sz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9"/>
        <w:gridCol w:w="2741"/>
      </w:tblGrid>
      <w:tr w:rsidR="00C60A8D" w14:paraId="79D19CD9" w14:textId="77777777">
        <w:trPr>
          <w:trHeight w:val="249"/>
        </w:trPr>
        <w:tc>
          <w:tcPr>
            <w:tcW w:w="6269" w:type="dxa"/>
          </w:tcPr>
          <w:p w14:paraId="3E019E11" w14:textId="77777777" w:rsidR="00C60A8D" w:rsidRDefault="003464C4">
            <w:pPr>
              <w:pStyle w:val="TableParagraph"/>
              <w:spacing w:line="229" w:lineRule="exact"/>
              <w:ind w:left="114"/>
            </w:pPr>
            <w:r>
              <w:t>Total Payable</w:t>
            </w:r>
          </w:p>
        </w:tc>
        <w:tc>
          <w:tcPr>
            <w:tcW w:w="2741" w:type="dxa"/>
          </w:tcPr>
          <w:p w14:paraId="5F19BF6D" w14:textId="263E5EAE" w:rsidR="00C60A8D" w:rsidRDefault="003464C4">
            <w:pPr>
              <w:pStyle w:val="TableParagraph"/>
              <w:spacing w:line="229" w:lineRule="exact"/>
              <w:ind w:left="842" w:right="730"/>
              <w:jc w:val="center"/>
            </w:pPr>
            <w:r>
              <w:t>$</w:t>
            </w:r>
            <w:r w:rsidR="00E04F19">
              <w:t>22566.00</w:t>
            </w:r>
          </w:p>
        </w:tc>
      </w:tr>
      <w:tr w:rsidR="00C60A8D" w14:paraId="0AA6D24E" w14:textId="77777777">
        <w:trPr>
          <w:trHeight w:val="234"/>
        </w:trPr>
        <w:tc>
          <w:tcPr>
            <w:tcW w:w="6269" w:type="dxa"/>
          </w:tcPr>
          <w:p w14:paraId="73F6262F" w14:textId="6FDAD720" w:rsidR="00C60A8D" w:rsidRDefault="003464C4">
            <w:pPr>
              <w:pStyle w:val="TableParagraph"/>
              <w:spacing w:line="215" w:lineRule="exact"/>
              <w:ind w:left="114"/>
            </w:pPr>
            <w:r>
              <w:t>GST Payable to 3</w:t>
            </w:r>
            <w:r w:rsidR="00E04F19">
              <w:t>1</w:t>
            </w:r>
            <w:r>
              <w:t>/</w:t>
            </w:r>
            <w:r w:rsidR="00E04F19">
              <w:t>3</w:t>
            </w:r>
            <w:r>
              <w:t>/1</w:t>
            </w:r>
            <w:r w:rsidR="00E04F19">
              <w:t>9</w:t>
            </w:r>
            <w:r>
              <w:t xml:space="preserve"> (Estimate)</w:t>
            </w:r>
          </w:p>
        </w:tc>
        <w:tc>
          <w:tcPr>
            <w:tcW w:w="2741" w:type="dxa"/>
          </w:tcPr>
          <w:p w14:paraId="4523D4C8" w14:textId="76A8AF7D" w:rsidR="00C60A8D" w:rsidRDefault="003464C4">
            <w:pPr>
              <w:pStyle w:val="TableParagraph"/>
              <w:spacing w:line="215" w:lineRule="exact"/>
              <w:ind w:left="842" w:right="730"/>
              <w:jc w:val="center"/>
            </w:pPr>
            <w:r>
              <w:t>$</w:t>
            </w:r>
            <w:r w:rsidR="00E04F19">
              <w:t>143.61</w:t>
            </w:r>
          </w:p>
        </w:tc>
      </w:tr>
      <w:tr w:rsidR="00C60A8D" w14:paraId="68FE18B9" w14:textId="77777777">
        <w:trPr>
          <w:trHeight w:val="234"/>
        </w:trPr>
        <w:tc>
          <w:tcPr>
            <w:tcW w:w="6269" w:type="dxa"/>
          </w:tcPr>
          <w:p w14:paraId="3CDE9F0D" w14:textId="12BDB2D6" w:rsidR="00C60A8D" w:rsidRDefault="003464C4">
            <w:pPr>
              <w:pStyle w:val="TableParagraph"/>
              <w:spacing w:line="215" w:lineRule="exact"/>
              <w:ind w:left="114"/>
            </w:pPr>
            <w:r>
              <w:t>PAYG Withholding</w:t>
            </w:r>
            <w:r w:rsidR="00E04F19">
              <w:t xml:space="preserve"> to 31/3/19 (Estimate)</w:t>
            </w:r>
          </w:p>
        </w:tc>
        <w:tc>
          <w:tcPr>
            <w:tcW w:w="2741" w:type="dxa"/>
          </w:tcPr>
          <w:p w14:paraId="43888FB6" w14:textId="66A5BB05" w:rsidR="00C60A8D" w:rsidRDefault="003464C4">
            <w:pPr>
              <w:pStyle w:val="TableParagraph"/>
              <w:spacing w:line="215" w:lineRule="exact"/>
              <w:ind w:left="842" w:right="730"/>
              <w:jc w:val="center"/>
            </w:pPr>
            <w:r>
              <w:t>$</w:t>
            </w:r>
            <w:r w:rsidR="00E04F19">
              <w:t>218.00</w:t>
            </w:r>
          </w:p>
        </w:tc>
      </w:tr>
      <w:tr w:rsidR="00C60A8D" w14:paraId="7BD62225" w14:textId="77777777">
        <w:trPr>
          <w:trHeight w:val="253"/>
        </w:trPr>
        <w:tc>
          <w:tcPr>
            <w:tcW w:w="6269" w:type="dxa"/>
          </w:tcPr>
          <w:p w14:paraId="770768B7" w14:textId="292FBB17" w:rsidR="00C60A8D" w:rsidRDefault="003464C4">
            <w:pPr>
              <w:pStyle w:val="TableParagraph"/>
              <w:spacing w:line="234" w:lineRule="exact"/>
              <w:ind w:left="114"/>
            </w:pPr>
            <w:r>
              <w:t>Superannuation payable to 3</w:t>
            </w:r>
            <w:r w:rsidR="00E04F19">
              <w:t>1</w:t>
            </w:r>
            <w:r>
              <w:t>/</w:t>
            </w:r>
            <w:r w:rsidR="00E04F19">
              <w:t>3</w:t>
            </w:r>
            <w:r>
              <w:t>/</w:t>
            </w:r>
            <w:r w:rsidR="00E04F19">
              <w:t>19</w:t>
            </w:r>
            <w:r>
              <w:t xml:space="preserve"> (</w:t>
            </w:r>
            <w:r w:rsidR="00E04F19">
              <w:t>Actual</w:t>
            </w:r>
            <w:r>
              <w:t>)</w:t>
            </w:r>
          </w:p>
        </w:tc>
        <w:tc>
          <w:tcPr>
            <w:tcW w:w="2741" w:type="dxa"/>
          </w:tcPr>
          <w:p w14:paraId="724929D1" w14:textId="1A13537D" w:rsidR="00C60A8D" w:rsidRDefault="003464C4">
            <w:pPr>
              <w:pStyle w:val="TableParagraph"/>
              <w:spacing w:line="234" w:lineRule="exact"/>
              <w:ind w:left="842" w:right="730"/>
              <w:jc w:val="center"/>
            </w:pPr>
            <w:r>
              <w:t>$</w:t>
            </w:r>
            <w:r w:rsidR="00E04F19">
              <w:t>1708.39</w:t>
            </w:r>
          </w:p>
        </w:tc>
      </w:tr>
      <w:tr w:rsidR="00C60A8D" w14:paraId="6B72A83B" w14:textId="77777777">
        <w:trPr>
          <w:trHeight w:val="254"/>
        </w:trPr>
        <w:tc>
          <w:tcPr>
            <w:tcW w:w="6269" w:type="dxa"/>
            <w:shd w:val="clear" w:color="auto" w:fill="F2F2F2"/>
          </w:tcPr>
          <w:p w14:paraId="60E8E2F2" w14:textId="77777777" w:rsidR="00C60A8D" w:rsidRDefault="003464C4">
            <w:pPr>
              <w:pStyle w:val="TableParagraph"/>
              <w:spacing w:line="234" w:lineRule="exact"/>
              <w:ind w:left="114"/>
              <w:rPr>
                <w:b/>
              </w:rPr>
            </w:pPr>
            <w:r>
              <w:rPr>
                <w:b/>
              </w:rPr>
              <w:t>Total Owing</w:t>
            </w:r>
          </w:p>
        </w:tc>
        <w:tc>
          <w:tcPr>
            <w:tcW w:w="2741" w:type="dxa"/>
            <w:shd w:val="clear" w:color="auto" w:fill="F2F2F2"/>
          </w:tcPr>
          <w:p w14:paraId="61574158" w14:textId="16AF923A" w:rsidR="00C60A8D" w:rsidRDefault="003464C4">
            <w:pPr>
              <w:pStyle w:val="TableParagraph"/>
              <w:spacing w:line="234" w:lineRule="exact"/>
              <w:ind w:left="842" w:right="730"/>
              <w:jc w:val="center"/>
              <w:rPr>
                <w:b/>
              </w:rPr>
            </w:pPr>
            <w:r>
              <w:rPr>
                <w:b/>
              </w:rPr>
              <w:t>$</w:t>
            </w:r>
            <w:r w:rsidR="00E04F19">
              <w:rPr>
                <w:b/>
              </w:rPr>
              <w:t>24,636.00</w:t>
            </w:r>
          </w:p>
        </w:tc>
      </w:tr>
      <w:tr w:rsidR="00C60A8D" w14:paraId="7106095D" w14:textId="77777777">
        <w:trPr>
          <w:trHeight w:val="249"/>
        </w:trPr>
        <w:tc>
          <w:tcPr>
            <w:tcW w:w="6269" w:type="dxa"/>
          </w:tcPr>
          <w:p w14:paraId="28ACC26A" w14:textId="77777777" w:rsidR="00C60A8D" w:rsidRDefault="003464C4">
            <w:pPr>
              <w:pStyle w:val="TableParagraph"/>
              <w:spacing w:line="229" w:lineRule="exact"/>
              <w:ind w:left="114"/>
            </w:pPr>
            <w:r>
              <w:t>Total Receivables</w:t>
            </w:r>
          </w:p>
        </w:tc>
        <w:tc>
          <w:tcPr>
            <w:tcW w:w="2741" w:type="dxa"/>
          </w:tcPr>
          <w:p w14:paraId="06AB3467" w14:textId="54ADDA73" w:rsidR="00C60A8D" w:rsidRDefault="003464C4">
            <w:pPr>
              <w:pStyle w:val="TableParagraph"/>
              <w:spacing w:line="229" w:lineRule="exact"/>
              <w:ind w:left="842" w:right="730"/>
              <w:jc w:val="center"/>
            </w:pPr>
            <w:r>
              <w:t>$</w:t>
            </w:r>
            <w:r w:rsidR="00E04F19">
              <w:t>12,904.00</w:t>
            </w:r>
          </w:p>
        </w:tc>
      </w:tr>
      <w:tr w:rsidR="00C60A8D" w14:paraId="18467CA3" w14:textId="77777777">
        <w:trPr>
          <w:trHeight w:val="330"/>
        </w:trPr>
        <w:tc>
          <w:tcPr>
            <w:tcW w:w="6269" w:type="dxa"/>
          </w:tcPr>
          <w:p w14:paraId="0FA22C99" w14:textId="77777777" w:rsidR="00C60A8D" w:rsidRDefault="003464C4">
            <w:pPr>
              <w:pStyle w:val="TableParagraph"/>
              <w:spacing w:line="234" w:lineRule="exact"/>
              <w:ind w:left="114"/>
            </w:pPr>
            <w:r>
              <w:t>Total Cash at Bank (includes $37,708.77 in Capital Works A/c)</w:t>
            </w:r>
          </w:p>
        </w:tc>
        <w:tc>
          <w:tcPr>
            <w:tcW w:w="2741" w:type="dxa"/>
          </w:tcPr>
          <w:p w14:paraId="5B95AE24" w14:textId="70F4D911" w:rsidR="00C60A8D" w:rsidRDefault="003464C4">
            <w:pPr>
              <w:pStyle w:val="TableParagraph"/>
              <w:spacing w:line="234" w:lineRule="exact"/>
              <w:ind w:left="842" w:right="730"/>
              <w:jc w:val="center"/>
            </w:pPr>
            <w:r>
              <w:t>$</w:t>
            </w:r>
            <w:r w:rsidR="00E04F19">
              <w:t>48,467.48</w:t>
            </w:r>
          </w:p>
        </w:tc>
      </w:tr>
      <w:tr w:rsidR="00C60A8D" w14:paraId="104A6114" w14:textId="77777777">
        <w:trPr>
          <w:trHeight w:val="234"/>
        </w:trPr>
        <w:tc>
          <w:tcPr>
            <w:tcW w:w="6269" w:type="dxa"/>
            <w:shd w:val="clear" w:color="auto" w:fill="F2F2F2"/>
          </w:tcPr>
          <w:p w14:paraId="63283FB8" w14:textId="77777777" w:rsidR="00C60A8D" w:rsidRDefault="003464C4">
            <w:pPr>
              <w:pStyle w:val="TableParagraph"/>
              <w:spacing w:line="215" w:lineRule="exact"/>
              <w:ind w:left="114"/>
              <w:rPr>
                <w:b/>
              </w:rPr>
            </w:pPr>
            <w:r>
              <w:rPr>
                <w:b/>
              </w:rPr>
              <w:t>Total To be received</w:t>
            </w:r>
          </w:p>
        </w:tc>
        <w:tc>
          <w:tcPr>
            <w:tcW w:w="2741" w:type="dxa"/>
            <w:shd w:val="clear" w:color="auto" w:fill="F2F2F2"/>
          </w:tcPr>
          <w:p w14:paraId="1A217320" w14:textId="4221F8EE" w:rsidR="00C60A8D" w:rsidRDefault="003464C4">
            <w:pPr>
              <w:pStyle w:val="TableParagraph"/>
              <w:spacing w:line="215" w:lineRule="exact"/>
              <w:ind w:left="842" w:right="730"/>
              <w:jc w:val="center"/>
              <w:rPr>
                <w:b/>
              </w:rPr>
            </w:pPr>
            <w:r>
              <w:rPr>
                <w:b/>
              </w:rPr>
              <w:t>$</w:t>
            </w:r>
            <w:r w:rsidR="00E04F19">
              <w:rPr>
                <w:b/>
              </w:rPr>
              <w:t>61,371.48</w:t>
            </w:r>
          </w:p>
        </w:tc>
      </w:tr>
      <w:tr w:rsidR="00C60A8D" w14:paraId="5123B31A" w14:textId="77777777" w:rsidTr="00797819">
        <w:trPr>
          <w:trHeight w:val="177"/>
        </w:trPr>
        <w:tc>
          <w:tcPr>
            <w:tcW w:w="6269" w:type="dxa"/>
          </w:tcPr>
          <w:p w14:paraId="107AF690" w14:textId="77777777" w:rsidR="00C60A8D" w:rsidRDefault="003464C4">
            <w:pPr>
              <w:pStyle w:val="TableParagraph"/>
              <w:spacing w:line="234" w:lineRule="exact"/>
              <w:ind w:left="114"/>
              <w:rPr>
                <w:b/>
              </w:rPr>
            </w:pPr>
            <w:r>
              <w:rPr>
                <w:b/>
              </w:rPr>
              <w:t>Surplus for Solvency Purposes</w:t>
            </w:r>
          </w:p>
        </w:tc>
        <w:tc>
          <w:tcPr>
            <w:tcW w:w="2741" w:type="dxa"/>
          </w:tcPr>
          <w:p w14:paraId="5851B1ED" w14:textId="0422D5BE" w:rsidR="00C60A8D" w:rsidRDefault="003464C4">
            <w:pPr>
              <w:pStyle w:val="TableParagraph"/>
              <w:spacing w:line="234" w:lineRule="exact"/>
              <w:ind w:left="850" w:right="721"/>
              <w:jc w:val="center"/>
              <w:rPr>
                <w:b/>
              </w:rPr>
            </w:pPr>
            <w:r>
              <w:rPr>
                <w:b/>
              </w:rPr>
              <w:t>$36,</w:t>
            </w:r>
            <w:r w:rsidR="00E04F19">
              <w:rPr>
                <w:b/>
              </w:rPr>
              <w:t>735.48</w:t>
            </w:r>
          </w:p>
        </w:tc>
      </w:tr>
    </w:tbl>
    <w:p w14:paraId="6AC2EC9C" w14:textId="4FE7568E" w:rsidR="00C60A8D" w:rsidRDefault="003464C4" w:rsidP="001E2107">
      <w:pPr>
        <w:pStyle w:val="BodyText"/>
        <w:spacing w:before="179" w:line="237" w:lineRule="auto"/>
        <w:ind w:left="219" w:right="641"/>
      </w:pPr>
      <w:r>
        <w:t>The cash surplus position</w:t>
      </w:r>
      <w:r w:rsidR="00E04F19">
        <w:t xml:space="preserve"> continues to</w:t>
      </w:r>
      <w:r>
        <w:t xml:space="preserve"> remain solid </w:t>
      </w:r>
      <w:r w:rsidR="00E04F19">
        <w:t>however we were fortunate to have ANZ provide us with a grant of $10,000</w:t>
      </w:r>
      <w:r w:rsidR="001E2107">
        <w:t xml:space="preserve"> which improved overall cash flow position. February and March are high expenditure months where our annual insurance premium (paid monthly instalments) and tournament expenses from the January and December sanctioned tournaments continue to come through. Whilst I did mention in my last report that we had made an estimated profit of $22,346.41 for these events, we have been expensed a further $11,771 covering tournament official costs and a court hire fee for Wyong. This has reduced the profitability to $10,575.41 and we now need to seriously look at how we can improve this bottom line given efforts that go into running these 2 tournaments.</w:t>
      </w:r>
    </w:p>
    <w:p w14:paraId="36F45C81" w14:textId="77777777" w:rsidR="00797819" w:rsidRDefault="00797819" w:rsidP="00797819">
      <w:pPr>
        <w:pStyle w:val="BodyText"/>
        <w:spacing w:before="185"/>
        <w:ind w:left="219"/>
      </w:pPr>
      <w:r>
        <w:t xml:space="preserve">For the month of March, we achieved a small profit of $562 thanks to the funds received from ANZ of $10,000. The Inter-club attracted 60 players and we made a small profit, with thanks to all clubs involved in contributing sponsorship and prizes. </w:t>
      </w:r>
    </w:p>
    <w:p w14:paraId="578D9FF2" w14:textId="77777777" w:rsidR="00797819" w:rsidRDefault="00797819" w:rsidP="00797819">
      <w:pPr>
        <w:pStyle w:val="BodyText"/>
        <w:spacing w:before="185"/>
        <w:ind w:left="219"/>
      </w:pPr>
      <w:r>
        <w:t xml:space="preserve">For the 9 months 1 July 2018 – 31 March 2019, the Club has made a profit of $38,707 compared to the same period last financial year of a loss $66,964. It is noted that from 1 April the GTC main body took direct ownership and running of the club, and this turnaround recognizes the huge efforts everyone has undertaken. </w:t>
      </w:r>
    </w:p>
    <w:p w14:paraId="6F3DF402" w14:textId="2790255F" w:rsidR="00797819" w:rsidRDefault="00797819" w:rsidP="00797819">
      <w:pPr>
        <w:pStyle w:val="BodyText"/>
        <w:spacing w:before="188" w:line="237" w:lineRule="auto"/>
        <w:ind w:left="219" w:right="885"/>
      </w:pPr>
      <w:r>
        <w:t xml:space="preserve">Updated Receivables and Payables are included with this report. Points raised for </w:t>
      </w:r>
      <w:r w:rsidRPr="00797819">
        <w:rPr>
          <w:b/>
        </w:rPr>
        <w:t>Payables</w:t>
      </w:r>
      <w:r>
        <w:t xml:space="preserve"> is as follows:</w:t>
      </w:r>
    </w:p>
    <w:p w14:paraId="36C6DC8D" w14:textId="77777777" w:rsidR="00797819" w:rsidRDefault="00797819" w:rsidP="00797819">
      <w:pPr>
        <w:pStyle w:val="BodyText"/>
        <w:numPr>
          <w:ilvl w:val="0"/>
          <w:numId w:val="4"/>
        </w:numPr>
        <w:spacing w:before="188" w:line="237" w:lineRule="auto"/>
        <w:ind w:right="885"/>
      </w:pPr>
      <w:r>
        <w:t>$10,171 to be paid to TNSW. We will be paying $4,099 this month and the remaining balance after the lucrative 14&amp;U State Championships</w:t>
      </w:r>
    </w:p>
    <w:p w14:paraId="0607CF63" w14:textId="77777777" w:rsidR="00797819" w:rsidRDefault="00797819" w:rsidP="00797819">
      <w:pPr>
        <w:pStyle w:val="BodyText"/>
        <w:numPr>
          <w:ilvl w:val="0"/>
          <w:numId w:val="4"/>
        </w:numPr>
        <w:spacing w:before="188" w:line="237" w:lineRule="auto"/>
        <w:ind w:right="885"/>
      </w:pPr>
      <w:r>
        <w:t>$1600 to Wyong TC for court hire. This will be paid in April.</w:t>
      </w:r>
    </w:p>
    <w:p w14:paraId="74ABCB59" w14:textId="77777777" w:rsidR="00797819" w:rsidRDefault="00797819" w:rsidP="00797819">
      <w:pPr>
        <w:pStyle w:val="BodyText"/>
        <w:numPr>
          <w:ilvl w:val="0"/>
          <w:numId w:val="4"/>
        </w:numPr>
        <w:spacing w:before="188" w:line="237" w:lineRule="auto"/>
        <w:ind w:right="885"/>
      </w:pPr>
      <w:r>
        <w:t>Insurance premiums of $4,273 are annually recorded however we do pay in monthly instalments</w:t>
      </w:r>
    </w:p>
    <w:p w14:paraId="7DA512FC" w14:textId="000EF0AE" w:rsidR="00797819" w:rsidRPr="003E3542" w:rsidRDefault="00797819" w:rsidP="00797819">
      <w:pPr>
        <w:pStyle w:val="BodyText"/>
        <w:numPr>
          <w:ilvl w:val="0"/>
          <w:numId w:val="4"/>
        </w:numPr>
        <w:spacing w:before="188" w:line="237" w:lineRule="auto"/>
        <w:ind w:right="885"/>
        <w:rPr>
          <w:color w:val="000000" w:themeColor="text1"/>
        </w:rPr>
      </w:pPr>
      <w:r w:rsidRPr="003E3542">
        <w:rPr>
          <w:color w:val="000000" w:themeColor="text1"/>
        </w:rPr>
        <w:t>Icare $2906 – this is a worker’s compensation premium which is paid</w:t>
      </w:r>
      <w:r w:rsidR="003E3542" w:rsidRPr="003E3542">
        <w:rPr>
          <w:color w:val="000000" w:themeColor="text1"/>
        </w:rPr>
        <w:t xml:space="preserve"> on a quarterly basis.</w:t>
      </w:r>
    </w:p>
    <w:p w14:paraId="40D63EEA" w14:textId="77777777" w:rsidR="00797819" w:rsidRPr="00797819" w:rsidRDefault="00797819" w:rsidP="00797819">
      <w:pPr>
        <w:pStyle w:val="BodyText"/>
        <w:spacing w:before="188" w:line="237" w:lineRule="auto"/>
        <w:ind w:left="219" w:right="885"/>
        <w:rPr>
          <w:b/>
        </w:rPr>
      </w:pPr>
      <w:r w:rsidRPr="00797819">
        <w:rPr>
          <w:b/>
        </w:rPr>
        <w:t>Receivables include:</w:t>
      </w:r>
    </w:p>
    <w:p w14:paraId="76386A1A" w14:textId="674EEADB" w:rsidR="00797819" w:rsidRPr="003E3542" w:rsidRDefault="00797819" w:rsidP="00797819">
      <w:pPr>
        <w:pStyle w:val="BodyText"/>
        <w:numPr>
          <w:ilvl w:val="0"/>
          <w:numId w:val="5"/>
        </w:numPr>
        <w:spacing w:before="188" w:line="237" w:lineRule="auto"/>
        <w:ind w:right="885"/>
        <w:rPr>
          <w:color w:val="000000" w:themeColor="text1"/>
        </w:rPr>
      </w:pPr>
      <w:r w:rsidRPr="003E3542">
        <w:rPr>
          <w:color w:val="000000" w:themeColor="text1"/>
        </w:rPr>
        <w:t>Alex Fielding’s outstanding $1,065</w:t>
      </w:r>
      <w:r w:rsidR="003E3542" w:rsidRPr="003E3542">
        <w:rPr>
          <w:color w:val="000000" w:themeColor="text1"/>
        </w:rPr>
        <w:t>. Alex should have this paid after School Holiday camps are finished. Alex’s costs relating to his move from QLD has caused some delays in payment.</w:t>
      </w:r>
    </w:p>
    <w:p w14:paraId="6D4B5224" w14:textId="77777777" w:rsidR="00797819" w:rsidRPr="003E3542" w:rsidRDefault="00797819" w:rsidP="00797819">
      <w:pPr>
        <w:pStyle w:val="BodyText"/>
        <w:numPr>
          <w:ilvl w:val="0"/>
          <w:numId w:val="5"/>
        </w:numPr>
        <w:spacing w:before="188" w:line="237" w:lineRule="auto"/>
        <w:ind w:right="885"/>
        <w:rPr>
          <w:color w:val="000000" w:themeColor="text1"/>
        </w:rPr>
      </w:pPr>
      <w:r w:rsidRPr="003E3542">
        <w:rPr>
          <w:color w:val="000000" w:themeColor="text1"/>
        </w:rPr>
        <w:t>ANZ’s $5,500 which will increase to $10,000 and become a current debtor with payment due by 30 September 2019.</w:t>
      </w:r>
    </w:p>
    <w:p w14:paraId="78F054DB" w14:textId="71DD0A61" w:rsidR="00797819" w:rsidRPr="003E3542" w:rsidRDefault="00797819" w:rsidP="00797819">
      <w:pPr>
        <w:pStyle w:val="BodyText"/>
        <w:numPr>
          <w:ilvl w:val="0"/>
          <w:numId w:val="5"/>
        </w:numPr>
        <w:spacing w:before="188" w:line="237" w:lineRule="auto"/>
        <w:ind w:right="885"/>
        <w:rPr>
          <w:color w:val="000000" w:themeColor="text1"/>
        </w:rPr>
      </w:pPr>
      <w:r w:rsidRPr="003E3542">
        <w:rPr>
          <w:color w:val="000000" w:themeColor="text1"/>
        </w:rPr>
        <w:lastRenderedPageBreak/>
        <w:t>Whilst we have received acknowledgement from “The Orthodontists” that they will be proceeding with their sponsorship we have yet to receive a signed agreement or funds which totals $1,200.</w:t>
      </w:r>
    </w:p>
    <w:p w14:paraId="647BEDB1" w14:textId="3C05737E" w:rsidR="00F17ABC" w:rsidRPr="00EA3FEE" w:rsidRDefault="00F17ABC" w:rsidP="001E2107">
      <w:pPr>
        <w:pStyle w:val="BodyText"/>
        <w:spacing w:before="179" w:line="237" w:lineRule="auto"/>
        <w:ind w:left="219" w:right="641"/>
        <w:rPr>
          <w:b/>
          <w:u w:val="single"/>
        </w:rPr>
      </w:pPr>
      <w:r w:rsidRPr="00EA3FEE">
        <w:rPr>
          <w:b/>
          <w:u w:val="single"/>
        </w:rPr>
        <w:t>Projected v Actual</w:t>
      </w:r>
    </w:p>
    <w:p w14:paraId="382C8B61" w14:textId="03C5C8A6" w:rsidR="00F17ABC" w:rsidRDefault="00F17ABC" w:rsidP="001E2107">
      <w:pPr>
        <w:pStyle w:val="BodyText"/>
        <w:spacing w:before="179" w:line="237" w:lineRule="auto"/>
        <w:ind w:left="219" w:right="641"/>
      </w:pPr>
      <w:r>
        <w:t xml:space="preserve">Now that we have a budget in place the </w:t>
      </w:r>
      <w:r w:rsidR="00EA3FEE">
        <w:t>following is based on:</w:t>
      </w:r>
    </w:p>
    <w:p w14:paraId="55AF3E67" w14:textId="6F50D05A" w:rsidR="00EA3FEE" w:rsidRDefault="00EA3FEE" w:rsidP="00EA3FEE">
      <w:pPr>
        <w:pStyle w:val="BodyText"/>
        <w:numPr>
          <w:ilvl w:val="0"/>
          <w:numId w:val="2"/>
        </w:numPr>
        <w:spacing w:before="179" w:line="237" w:lineRule="auto"/>
        <w:ind w:right="641"/>
      </w:pPr>
      <w:r w:rsidRPr="00EA3FEE">
        <w:rPr>
          <w:b/>
        </w:rPr>
        <w:t>YTD 1/7/18 – 30/6/19</w:t>
      </w:r>
      <w:r>
        <w:t xml:space="preserve"> – 9 months actuals compared to 9 months of actuals plus 3 months of projected (12 months in total)</w:t>
      </w:r>
    </w:p>
    <w:p w14:paraId="25D7862C" w14:textId="703167F2" w:rsidR="00D60BB1" w:rsidRDefault="00EA3FEE" w:rsidP="00B60D1F">
      <w:pPr>
        <w:pStyle w:val="BodyText"/>
        <w:numPr>
          <w:ilvl w:val="0"/>
          <w:numId w:val="2"/>
        </w:numPr>
        <w:spacing w:before="179" w:line="237" w:lineRule="auto"/>
        <w:ind w:right="641"/>
      </w:pPr>
      <w:r w:rsidRPr="00EA3FEE">
        <w:rPr>
          <w:b/>
        </w:rPr>
        <w:t>YTD 1/1/19 – 31/12/19</w:t>
      </w:r>
      <w:r>
        <w:t xml:space="preserve"> – 3 months actuals compared to 3 months of actuals &amp; 9 months of projected (12 months in total)</w:t>
      </w:r>
    </w:p>
    <w:p w14:paraId="326DB530" w14:textId="77777777" w:rsidR="00B60D1F" w:rsidRPr="00B60D1F" w:rsidRDefault="00B60D1F" w:rsidP="00B60D1F">
      <w:pPr>
        <w:pStyle w:val="BodyText"/>
        <w:spacing w:before="179" w:line="237" w:lineRule="auto"/>
        <w:ind w:right="641"/>
        <w:rPr>
          <w:sz w:val="10"/>
          <w:szCs w:val="1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807"/>
        <w:gridCol w:w="1817"/>
        <w:gridCol w:w="1703"/>
        <w:gridCol w:w="1787"/>
      </w:tblGrid>
      <w:tr w:rsidR="00D60BB1" w:rsidRPr="00F17ABC" w14:paraId="27DA82B3" w14:textId="77777777" w:rsidTr="00B60D1F">
        <w:trPr>
          <w:trHeight w:val="330"/>
        </w:trPr>
        <w:tc>
          <w:tcPr>
            <w:tcW w:w="2129" w:type="dxa"/>
          </w:tcPr>
          <w:p w14:paraId="26F93235" w14:textId="77777777" w:rsidR="00D60BB1" w:rsidRPr="00F17ABC" w:rsidRDefault="00D60BB1" w:rsidP="00C94399">
            <w:pPr>
              <w:pStyle w:val="BodyText"/>
              <w:spacing w:before="179" w:line="237" w:lineRule="auto"/>
              <w:ind w:left="0" w:right="641"/>
              <w:rPr>
                <w:sz w:val="21"/>
                <w:szCs w:val="21"/>
              </w:rPr>
            </w:pPr>
          </w:p>
        </w:tc>
        <w:tc>
          <w:tcPr>
            <w:tcW w:w="3624" w:type="dxa"/>
            <w:gridSpan w:val="2"/>
          </w:tcPr>
          <w:p w14:paraId="4107EFA0" w14:textId="77777777" w:rsidR="00D60BB1" w:rsidRPr="00F17ABC" w:rsidRDefault="00D60BB1" w:rsidP="00B60D1F">
            <w:pPr>
              <w:pStyle w:val="BodyText"/>
              <w:spacing w:before="179" w:line="237" w:lineRule="auto"/>
              <w:ind w:left="0" w:right="641"/>
              <w:jc w:val="center"/>
              <w:rPr>
                <w:b/>
                <w:sz w:val="21"/>
                <w:szCs w:val="21"/>
              </w:rPr>
            </w:pPr>
            <w:r w:rsidRPr="00F17ABC">
              <w:rPr>
                <w:b/>
                <w:sz w:val="21"/>
                <w:szCs w:val="21"/>
              </w:rPr>
              <w:t>YTD 1/7/18 – 30/6/19</w:t>
            </w:r>
          </w:p>
        </w:tc>
        <w:tc>
          <w:tcPr>
            <w:tcW w:w="3490" w:type="dxa"/>
            <w:gridSpan w:val="2"/>
          </w:tcPr>
          <w:p w14:paraId="688094D4" w14:textId="77777777" w:rsidR="00D60BB1" w:rsidRPr="00F17ABC" w:rsidRDefault="00D60BB1" w:rsidP="00B60D1F">
            <w:pPr>
              <w:pStyle w:val="BodyText"/>
              <w:spacing w:before="179" w:line="237" w:lineRule="auto"/>
              <w:ind w:left="0" w:right="641"/>
              <w:jc w:val="center"/>
              <w:rPr>
                <w:b/>
                <w:sz w:val="21"/>
                <w:szCs w:val="21"/>
              </w:rPr>
            </w:pPr>
            <w:r w:rsidRPr="00F17ABC">
              <w:rPr>
                <w:b/>
                <w:sz w:val="21"/>
                <w:szCs w:val="21"/>
              </w:rPr>
              <w:t>YTD 1/1/2019 – 31/12/19</w:t>
            </w:r>
          </w:p>
        </w:tc>
      </w:tr>
      <w:tr w:rsidR="00D60BB1" w:rsidRPr="00F17ABC" w14:paraId="23FBEB0A" w14:textId="77777777" w:rsidTr="00B60D1F">
        <w:tc>
          <w:tcPr>
            <w:tcW w:w="2129" w:type="dxa"/>
            <w:shd w:val="clear" w:color="auto" w:fill="F2F2F2" w:themeFill="background1" w:themeFillShade="F2"/>
          </w:tcPr>
          <w:p w14:paraId="04D4E645" w14:textId="77777777" w:rsidR="00D60BB1" w:rsidRPr="00F17ABC" w:rsidRDefault="00D60BB1" w:rsidP="00C94399">
            <w:pPr>
              <w:pStyle w:val="BodyText"/>
              <w:spacing w:before="179" w:line="237" w:lineRule="auto"/>
              <w:ind w:left="0" w:right="641"/>
              <w:rPr>
                <w:sz w:val="21"/>
                <w:szCs w:val="21"/>
              </w:rPr>
            </w:pPr>
          </w:p>
        </w:tc>
        <w:tc>
          <w:tcPr>
            <w:tcW w:w="1807" w:type="dxa"/>
            <w:shd w:val="clear" w:color="auto" w:fill="F2F2F2" w:themeFill="background1" w:themeFillShade="F2"/>
          </w:tcPr>
          <w:p w14:paraId="7692A55A" w14:textId="77777777" w:rsidR="00D60BB1" w:rsidRPr="00F17ABC" w:rsidRDefault="00D60BB1" w:rsidP="00C94399">
            <w:pPr>
              <w:pStyle w:val="BodyText"/>
              <w:spacing w:before="179" w:line="237" w:lineRule="auto"/>
              <w:ind w:left="0" w:right="641"/>
              <w:jc w:val="center"/>
              <w:rPr>
                <w:i/>
                <w:sz w:val="21"/>
                <w:szCs w:val="21"/>
              </w:rPr>
            </w:pPr>
            <w:r w:rsidRPr="00F17ABC">
              <w:rPr>
                <w:i/>
                <w:sz w:val="21"/>
                <w:szCs w:val="21"/>
              </w:rPr>
              <w:t>Actual</w:t>
            </w:r>
          </w:p>
        </w:tc>
        <w:tc>
          <w:tcPr>
            <w:tcW w:w="1817" w:type="dxa"/>
            <w:shd w:val="clear" w:color="auto" w:fill="F2F2F2" w:themeFill="background1" w:themeFillShade="F2"/>
          </w:tcPr>
          <w:p w14:paraId="72DE680D" w14:textId="77777777" w:rsidR="00D60BB1" w:rsidRPr="00F17ABC" w:rsidRDefault="00D60BB1" w:rsidP="00C94399">
            <w:pPr>
              <w:pStyle w:val="BodyText"/>
              <w:spacing w:before="179" w:line="237" w:lineRule="auto"/>
              <w:ind w:left="0" w:right="641"/>
              <w:jc w:val="center"/>
              <w:rPr>
                <w:i/>
                <w:sz w:val="21"/>
                <w:szCs w:val="21"/>
              </w:rPr>
            </w:pPr>
            <w:r w:rsidRPr="00F17ABC">
              <w:rPr>
                <w:i/>
                <w:sz w:val="21"/>
                <w:szCs w:val="21"/>
              </w:rPr>
              <w:t>Projected</w:t>
            </w:r>
          </w:p>
        </w:tc>
        <w:tc>
          <w:tcPr>
            <w:tcW w:w="1703" w:type="dxa"/>
            <w:shd w:val="clear" w:color="auto" w:fill="F2F2F2" w:themeFill="background1" w:themeFillShade="F2"/>
          </w:tcPr>
          <w:p w14:paraId="594AAC63" w14:textId="77777777" w:rsidR="00D60BB1" w:rsidRPr="00F17ABC" w:rsidRDefault="00D60BB1" w:rsidP="00C94399">
            <w:pPr>
              <w:pStyle w:val="BodyText"/>
              <w:spacing w:before="179" w:line="237" w:lineRule="auto"/>
              <w:ind w:left="0" w:right="641"/>
              <w:jc w:val="center"/>
              <w:rPr>
                <w:i/>
                <w:sz w:val="21"/>
                <w:szCs w:val="21"/>
              </w:rPr>
            </w:pPr>
            <w:r w:rsidRPr="00F17ABC">
              <w:rPr>
                <w:i/>
                <w:sz w:val="21"/>
                <w:szCs w:val="21"/>
              </w:rPr>
              <w:t>Actual</w:t>
            </w:r>
          </w:p>
        </w:tc>
        <w:tc>
          <w:tcPr>
            <w:tcW w:w="1787" w:type="dxa"/>
            <w:shd w:val="clear" w:color="auto" w:fill="F2F2F2" w:themeFill="background1" w:themeFillShade="F2"/>
          </w:tcPr>
          <w:p w14:paraId="20C440F0" w14:textId="77777777" w:rsidR="00D60BB1" w:rsidRPr="00F17ABC" w:rsidRDefault="00D60BB1" w:rsidP="00C94399">
            <w:pPr>
              <w:pStyle w:val="BodyText"/>
              <w:spacing w:before="179" w:line="237" w:lineRule="auto"/>
              <w:ind w:left="0" w:right="641"/>
              <w:jc w:val="center"/>
              <w:rPr>
                <w:i/>
                <w:sz w:val="21"/>
                <w:szCs w:val="21"/>
              </w:rPr>
            </w:pPr>
            <w:r w:rsidRPr="00F17ABC">
              <w:rPr>
                <w:i/>
                <w:sz w:val="21"/>
                <w:szCs w:val="21"/>
              </w:rPr>
              <w:t>Projected</w:t>
            </w:r>
          </w:p>
        </w:tc>
      </w:tr>
      <w:tr w:rsidR="00D60BB1" w:rsidRPr="00F17ABC" w14:paraId="27D0D39F" w14:textId="77777777" w:rsidTr="00B60D1F">
        <w:tc>
          <w:tcPr>
            <w:tcW w:w="2129" w:type="dxa"/>
          </w:tcPr>
          <w:p w14:paraId="1274ACC9" w14:textId="77777777" w:rsidR="00D60BB1" w:rsidRPr="00F17ABC" w:rsidRDefault="00D60BB1" w:rsidP="00C94399">
            <w:pPr>
              <w:pStyle w:val="BodyText"/>
              <w:spacing w:before="179" w:line="237" w:lineRule="auto"/>
              <w:ind w:left="0" w:right="641"/>
              <w:rPr>
                <w:b/>
                <w:sz w:val="21"/>
                <w:szCs w:val="21"/>
              </w:rPr>
            </w:pPr>
            <w:r w:rsidRPr="00F17ABC">
              <w:rPr>
                <w:b/>
                <w:sz w:val="21"/>
                <w:szCs w:val="21"/>
              </w:rPr>
              <w:t>Revenue</w:t>
            </w:r>
          </w:p>
        </w:tc>
        <w:tc>
          <w:tcPr>
            <w:tcW w:w="1807" w:type="dxa"/>
          </w:tcPr>
          <w:p w14:paraId="21155FCE"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$327,587</w:t>
            </w:r>
          </w:p>
        </w:tc>
        <w:tc>
          <w:tcPr>
            <w:tcW w:w="1817" w:type="dxa"/>
          </w:tcPr>
          <w:p w14:paraId="4C0931EF"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$455,685</w:t>
            </w:r>
          </w:p>
        </w:tc>
        <w:tc>
          <w:tcPr>
            <w:tcW w:w="1703" w:type="dxa"/>
          </w:tcPr>
          <w:p w14:paraId="17CD7E56"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$85,115</w:t>
            </w:r>
          </w:p>
        </w:tc>
        <w:tc>
          <w:tcPr>
            <w:tcW w:w="1787" w:type="dxa"/>
          </w:tcPr>
          <w:p w14:paraId="41745AEB"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$121,376</w:t>
            </w:r>
          </w:p>
        </w:tc>
      </w:tr>
      <w:tr w:rsidR="00D60BB1" w:rsidRPr="00F17ABC" w14:paraId="6BA61A16" w14:textId="77777777" w:rsidTr="00B60D1F">
        <w:tc>
          <w:tcPr>
            <w:tcW w:w="2129" w:type="dxa"/>
            <w:shd w:val="clear" w:color="auto" w:fill="F2F2F2" w:themeFill="background1" w:themeFillShade="F2"/>
          </w:tcPr>
          <w:p w14:paraId="115343F8" w14:textId="77777777" w:rsidR="00D60BB1" w:rsidRPr="00F17ABC" w:rsidRDefault="00D60BB1" w:rsidP="00C94399">
            <w:pPr>
              <w:pStyle w:val="BodyText"/>
              <w:spacing w:before="179" w:line="237" w:lineRule="auto"/>
              <w:ind w:left="0" w:right="641"/>
              <w:rPr>
                <w:b/>
                <w:sz w:val="21"/>
                <w:szCs w:val="21"/>
              </w:rPr>
            </w:pPr>
            <w:r w:rsidRPr="00F17ABC">
              <w:rPr>
                <w:b/>
                <w:sz w:val="21"/>
                <w:szCs w:val="21"/>
              </w:rPr>
              <w:t>Expenditure</w:t>
            </w:r>
          </w:p>
        </w:tc>
        <w:tc>
          <w:tcPr>
            <w:tcW w:w="1807" w:type="dxa"/>
            <w:shd w:val="clear" w:color="auto" w:fill="F2F2F2" w:themeFill="background1" w:themeFillShade="F2"/>
          </w:tcPr>
          <w:p w14:paraId="42634654"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$288,898</w:t>
            </w:r>
          </w:p>
        </w:tc>
        <w:tc>
          <w:tcPr>
            <w:tcW w:w="1817" w:type="dxa"/>
            <w:shd w:val="clear" w:color="auto" w:fill="F2F2F2" w:themeFill="background1" w:themeFillShade="F2"/>
          </w:tcPr>
          <w:p w14:paraId="758DD80F"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$422,267</w:t>
            </w:r>
          </w:p>
        </w:tc>
        <w:tc>
          <w:tcPr>
            <w:tcW w:w="1703" w:type="dxa"/>
            <w:shd w:val="clear" w:color="auto" w:fill="F2F2F2" w:themeFill="background1" w:themeFillShade="F2"/>
          </w:tcPr>
          <w:p w14:paraId="5DA6A598"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$92,127</w:t>
            </w:r>
          </w:p>
        </w:tc>
        <w:tc>
          <w:tcPr>
            <w:tcW w:w="1787" w:type="dxa"/>
            <w:shd w:val="clear" w:color="auto" w:fill="F2F2F2" w:themeFill="background1" w:themeFillShade="F2"/>
          </w:tcPr>
          <w:p w14:paraId="5D2B92A8"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$121,998</w:t>
            </w:r>
          </w:p>
        </w:tc>
      </w:tr>
      <w:tr w:rsidR="00D60BB1" w:rsidRPr="00F17ABC" w14:paraId="3E340864" w14:textId="77777777" w:rsidTr="00B60D1F">
        <w:tc>
          <w:tcPr>
            <w:tcW w:w="2129" w:type="dxa"/>
          </w:tcPr>
          <w:p w14:paraId="5E439CC6" w14:textId="77777777" w:rsidR="00D60BB1" w:rsidRPr="00F17ABC" w:rsidRDefault="00D60BB1" w:rsidP="00C94399">
            <w:pPr>
              <w:pStyle w:val="BodyText"/>
              <w:spacing w:before="179" w:line="237" w:lineRule="auto"/>
              <w:ind w:left="0" w:right="641"/>
              <w:rPr>
                <w:b/>
                <w:sz w:val="21"/>
                <w:szCs w:val="21"/>
              </w:rPr>
            </w:pPr>
            <w:r w:rsidRPr="00F17ABC">
              <w:rPr>
                <w:b/>
                <w:sz w:val="21"/>
                <w:szCs w:val="21"/>
              </w:rPr>
              <w:t>Gross Profit</w:t>
            </w:r>
          </w:p>
        </w:tc>
        <w:tc>
          <w:tcPr>
            <w:tcW w:w="1807" w:type="dxa"/>
          </w:tcPr>
          <w:p w14:paraId="62E24F97"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$252,863</w:t>
            </w:r>
          </w:p>
        </w:tc>
        <w:tc>
          <w:tcPr>
            <w:tcW w:w="1817" w:type="dxa"/>
          </w:tcPr>
          <w:p w14:paraId="1F1430C5"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$321,276</w:t>
            </w:r>
          </w:p>
        </w:tc>
        <w:tc>
          <w:tcPr>
            <w:tcW w:w="1703" w:type="dxa"/>
          </w:tcPr>
          <w:p w14:paraId="649FB208"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$65,327</w:t>
            </w:r>
          </w:p>
        </w:tc>
        <w:tc>
          <w:tcPr>
            <w:tcW w:w="1787" w:type="dxa"/>
          </w:tcPr>
          <w:p w14:paraId="5D7DCD26"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$78301</w:t>
            </w:r>
          </w:p>
        </w:tc>
      </w:tr>
      <w:tr w:rsidR="00D60BB1" w:rsidRPr="00F17ABC" w14:paraId="75C06448" w14:textId="77777777" w:rsidTr="00B60D1F">
        <w:tc>
          <w:tcPr>
            <w:tcW w:w="2129" w:type="dxa"/>
            <w:shd w:val="clear" w:color="auto" w:fill="F2F2F2" w:themeFill="background1" w:themeFillShade="F2"/>
          </w:tcPr>
          <w:p w14:paraId="6D32B925" w14:textId="77777777" w:rsidR="00D60BB1" w:rsidRPr="00F17ABC" w:rsidRDefault="00D60BB1" w:rsidP="00C94399">
            <w:pPr>
              <w:pStyle w:val="BodyText"/>
              <w:spacing w:before="179" w:line="237" w:lineRule="auto"/>
              <w:ind w:left="0" w:right="641"/>
              <w:rPr>
                <w:b/>
                <w:sz w:val="21"/>
                <w:szCs w:val="21"/>
              </w:rPr>
            </w:pPr>
            <w:r w:rsidRPr="00F17ABC">
              <w:rPr>
                <w:b/>
                <w:sz w:val="21"/>
                <w:szCs w:val="21"/>
              </w:rPr>
              <w:t>GP Margin</w:t>
            </w:r>
          </w:p>
        </w:tc>
        <w:tc>
          <w:tcPr>
            <w:tcW w:w="1807" w:type="dxa"/>
            <w:shd w:val="clear" w:color="auto" w:fill="F2F2F2" w:themeFill="background1" w:themeFillShade="F2"/>
          </w:tcPr>
          <w:p w14:paraId="4DF5B1F5" w14:textId="77777777" w:rsidR="00D60BB1" w:rsidRPr="00F17ABC" w:rsidRDefault="00D60BB1" w:rsidP="00C94399">
            <w:pPr>
              <w:pStyle w:val="BodyText"/>
              <w:spacing w:before="179" w:line="237" w:lineRule="auto"/>
              <w:ind w:left="0" w:right="641"/>
              <w:jc w:val="center"/>
              <w:rPr>
                <w:b/>
                <w:sz w:val="21"/>
                <w:szCs w:val="21"/>
              </w:rPr>
            </w:pPr>
            <w:r w:rsidRPr="00F17ABC">
              <w:rPr>
                <w:b/>
                <w:sz w:val="21"/>
                <w:szCs w:val="21"/>
              </w:rPr>
              <w:t>77%</w:t>
            </w:r>
          </w:p>
        </w:tc>
        <w:tc>
          <w:tcPr>
            <w:tcW w:w="1817" w:type="dxa"/>
            <w:shd w:val="clear" w:color="auto" w:fill="F2F2F2" w:themeFill="background1" w:themeFillShade="F2"/>
          </w:tcPr>
          <w:p w14:paraId="65B8E509" w14:textId="77777777" w:rsidR="00D60BB1" w:rsidRPr="00F17ABC" w:rsidRDefault="00D60BB1" w:rsidP="00C94399">
            <w:pPr>
              <w:pStyle w:val="BodyText"/>
              <w:spacing w:before="179" w:line="237" w:lineRule="auto"/>
              <w:ind w:left="0" w:right="641"/>
              <w:jc w:val="center"/>
              <w:rPr>
                <w:b/>
                <w:sz w:val="21"/>
                <w:szCs w:val="21"/>
              </w:rPr>
            </w:pPr>
            <w:r w:rsidRPr="00F17ABC">
              <w:rPr>
                <w:b/>
                <w:sz w:val="21"/>
                <w:szCs w:val="21"/>
              </w:rPr>
              <w:t>71%</w:t>
            </w:r>
          </w:p>
        </w:tc>
        <w:tc>
          <w:tcPr>
            <w:tcW w:w="1703" w:type="dxa"/>
            <w:shd w:val="clear" w:color="auto" w:fill="F2F2F2" w:themeFill="background1" w:themeFillShade="F2"/>
          </w:tcPr>
          <w:p w14:paraId="01376CBB" w14:textId="77777777" w:rsidR="00D60BB1" w:rsidRPr="00F17ABC" w:rsidRDefault="00D60BB1" w:rsidP="00C94399">
            <w:pPr>
              <w:pStyle w:val="BodyText"/>
              <w:spacing w:before="179" w:line="237" w:lineRule="auto"/>
              <w:ind w:left="0" w:right="641"/>
              <w:jc w:val="center"/>
              <w:rPr>
                <w:b/>
                <w:color w:val="000000" w:themeColor="text1"/>
                <w:sz w:val="21"/>
                <w:szCs w:val="21"/>
              </w:rPr>
            </w:pPr>
            <w:r w:rsidRPr="00F17ABC">
              <w:rPr>
                <w:b/>
                <w:color w:val="000000" w:themeColor="text1"/>
                <w:sz w:val="21"/>
                <w:szCs w:val="21"/>
              </w:rPr>
              <w:t>77%</w:t>
            </w:r>
          </w:p>
        </w:tc>
        <w:tc>
          <w:tcPr>
            <w:tcW w:w="1787" w:type="dxa"/>
            <w:shd w:val="clear" w:color="auto" w:fill="F2F2F2" w:themeFill="background1" w:themeFillShade="F2"/>
          </w:tcPr>
          <w:p w14:paraId="4652E8F9" w14:textId="77777777" w:rsidR="00D60BB1" w:rsidRPr="00F17ABC" w:rsidRDefault="00D60BB1" w:rsidP="00C94399">
            <w:pPr>
              <w:pStyle w:val="BodyText"/>
              <w:spacing w:before="179" w:line="237" w:lineRule="auto"/>
              <w:ind w:left="0" w:right="641"/>
              <w:jc w:val="center"/>
              <w:rPr>
                <w:b/>
                <w:color w:val="000000" w:themeColor="text1"/>
                <w:sz w:val="21"/>
                <w:szCs w:val="21"/>
              </w:rPr>
            </w:pPr>
            <w:r w:rsidRPr="00F17ABC">
              <w:rPr>
                <w:b/>
                <w:color w:val="000000" w:themeColor="text1"/>
                <w:sz w:val="21"/>
                <w:szCs w:val="21"/>
              </w:rPr>
              <w:t>65%</w:t>
            </w:r>
          </w:p>
        </w:tc>
      </w:tr>
      <w:tr w:rsidR="00D60BB1" w:rsidRPr="00F17ABC" w14:paraId="5A39E1AC" w14:textId="77777777" w:rsidTr="00B60D1F">
        <w:trPr>
          <w:trHeight w:val="329"/>
        </w:trPr>
        <w:tc>
          <w:tcPr>
            <w:tcW w:w="2129" w:type="dxa"/>
          </w:tcPr>
          <w:p w14:paraId="70D422ED" w14:textId="77777777" w:rsidR="00D60BB1" w:rsidRPr="00F17ABC" w:rsidRDefault="00D60BB1" w:rsidP="00C94399">
            <w:pPr>
              <w:pStyle w:val="BodyText"/>
              <w:spacing w:before="179" w:line="237" w:lineRule="auto"/>
              <w:ind w:left="0" w:right="641"/>
              <w:rPr>
                <w:b/>
                <w:sz w:val="21"/>
                <w:szCs w:val="21"/>
              </w:rPr>
            </w:pPr>
            <w:r w:rsidRPr="00F17ABC">
              <w:rPr>
                <w:b/>
                <w:sz w:val="21"/>
                <w:szCs w:val="21"/>
              </w:rPr>
              <w:t>Net Profit</w:t>
            </w:r>
          </w:p>
        </w:tc>
        <w:tc>
          <w:tcPr>
            <w:tcW w:w="1807" w:type="dxa"/>
          </w:tcPr>
          <w:p w14:paraId="154CD935"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$38,689</w:t>
            </w:r>
          </w:p>
        </w:tc>
        <w:tc>
          <w:tcPr>
            <w:tcW w:w="1817" w:type="dxa"/>
          </w:tcPr>
          <w:p w14:paraId="40358A84" w14:textId="77777777" w:rsidR="00D60BB1" w:rsidRPr="00F17ABC" w:rsidRDefault="00D60BB1" w:rsidP="00C94399">
            <w:pPr>
              <w:pStyle w:val="BodyText"/>
              <w:spacing w:before="179" w:line="237" w:lineRule="auto"/>
              <w:ind w:left="0" w:right="641"/>
              <w:jc w:val="center"/>
              <w:rPr>
                <w:sz w:val="21"/>
                <w:szCs w:val="21"/>
              </w:rPr>
            </w:pPr>
            <w:r w:rsidRPr="00F17ABC">
              <w:rPr>
                <w:sz w:val="21"/>
                <w:szCs w:val="21"/>
              </w:rPr>
              <w:t>$33,418</w:t>
            </w:r>
          </w:p>
        </w:tc>
        <w:tc>
          <w:tcPr>
            <w:tcW w:w="1703" w:type="dxa"/>
          </w:tcPr>
          <w:p w14:paraId="610FAFA2" w14:textId="77777777" w:rsidR="00D60BB1" w:rsidRPr="00F17ABC" w:rsidRDefault="00D60BB1" w:rsidP="00C94399">
            <w:pPr>
              <w:pStyle w:val="BodyText"/>
              <w:spacing w:before="179" w:line="237" w:lineRule="auto"/>
              <w:ind w:left="0" w:right="641"/>
              <w:jc w:val="center"/>
              <w:rPr>
                <w:color w:val="FF0000"/>
                <w:sz w:val="21"/>
                <w:szCs w:val="21"/>
              </w:rPr>
            </w:pPr>
            <w:r w:rsidRPr="00F17ABC">
              <w:rPr>
                <w:color w:val="FF0000"/>
                <w:sz w:val="21"/>
                <w:szCs w:val="21"/>
              </w:rPr>
              <w:t>($7012)</w:t>
            </w:r>
          </w:p>
        </w:tc>
        <w:tc>
          <w:tcPr>
            <w:tcW w:w="1787" w:type="dxa"/>
          </w:tcPr>
          <w:p w14:paraId="31D1D735" w14:textId="5538355E" w:rsidR="00D60BB1" w:rsidRPr="00F17ABC" w:rsidRDefault="00D60BB1" w:rsidP="00B60D1F">
            <w:pPr>
              <w:pStyle w:val="BodyText"/>
              <w:spacing w:before="179" w:line="237" w:lineRule="auto"/>
              <w:ind w:left="0" w:right="641"/>
              <w:jc w:val="center"/>
              <w:rPr>
                <w:color w:val="FF0000"/>
                <w:sz w:val="21"/>
                <w:szCs w:val="21"/>
              </w:rPr>
            </w:pPr>
            <w:r w:rsidRPr="00F17ABC">
              <w:rPr>
                <w:color w:val="FF0000"/>
                <w:sz w:val="21"/>
                <w:szCs w:val="21"/>
              </w:rPr>
              <w:t>($622)</w:t>
            </w:r>
          </w:p>
        </w:tc>
      </w:tr>
    </w:tbl>
    <w:p w14:paraId="2F20AB7E" w14:textId="73E1B877" w:rsidR="00D60BB1" w:rsidRDefault="00D60BB1" w:rsidP="00D60BB1">
      <w:pPr>
        <w:pStyle w:val="BodyText"/>
        <w:spacing w:before="185"/>
        <w:ind w:left="0"/>
      </w:pPr>
      <w:r>
        <w:t>Some points I would like to raise on the actual and projected numbers above:</w:t>
      </w:r>
    </w:p>
    <w:p w14:paraId="135FBD18" w14:textId="77777777" w:rsidR="00D60BB1" w:rsidRDefault="00D60BB1" w:rsidP="00D60BB1">
      <w:pPr>
        <w:pStyle w:val="BodyText"/>
        <w:numPr>
          <w:ilvl w:val="0"/>
          <w:numId w:val="3"/>
        </w:numPr>
        <w:spacing w:before="185"/>
      </w:pPr>
      <w:r>
        <w:t>For the 12 months to 30/6/19 we are expected to generate total revenue of $455,685 compared to $465,991 to 30 June 2018. Whilst this is lower, it will see the club forecast a NPBT of $33,418 as at 30 June 2019, compared to a loss of $50,802 from last year, which is a major turnaround and a good message to provide at the AGM. GP margins have also improved projected at 71% compared to last financial year of 40%.</w:t>
      </w:r>
    </w:p>
    <w:p w14:paraId="5AE5FDA9" w14:textId="77777777" w:rsidR="00D60BB1" w:rsidRDefault="00D60BB1" w:rsidP="00D60BB1">
      <w:pPr>
        <w:pStyle w:val="BodyText"/>
        <w:numPr>
          <w:ilvl w:val="0"/>
          <w:numId w:val="3"/>
        </w:numPr>
        <w:spacing w:before="185"/>
      </w:pPr>
      <w:r>
        <w:t xml:space="preserve">As a running forecast for the 12-month calendar year to 31 December 2019, projected revenue is estimated at $470,000 and NPBT of $28,564 with a GP margin of 70%. I am hoping that with additional investment in the business – new staff roles, improved facilities, and a stable coaching program, we will see the revenue and profit lines improve above what is projected. It is noted that projected NPBT of $28,564, includes an allocation of $31,500 to be distributed to the Capital Sinking Fund. Whilst we have an actual 3 months loss of $7012, we are expecting strong revenue months from May to September to pull us through given we have the NSW 14&amp;U State Titles, Champion of Champions in June, July AMT Bronze, August Platinum, and the September Club Championships. In addition, with membership due to commence from 1 June, and ANZ having committed to the ANZ Central Coast Open for $10,000, I am confident forecasts will be exceeded, based on good weather. </w:t>
      </w:r>
    </w:p>
    <w:p w14:paraId="3271F179" w14:textId="42F67284" w:rsidR="001E2107" w:rsidRDefault="00D60BB1" w:rsidP="00D60BB1">
      <w:pPr>
        <w:pStyle w:val="BodyText"/>
        <w:numPr>
          <w:ilvl w:val="0"/>
          <w:numId w:val="3"/>
        </w:numPr>
        <w:spacing w:before="185"/>
      </w:pPr>
      <w:r>
        <w:t>In terms of forecasts we are behind on revenue numbers however this has been offset by a reduction in expenses. With the proposed changes to Jackie’s role and the mew Marketing role which will be accommodated within Jenny’s existing hours total salaries and super would be within budget. At this stage salaries are 27% below budget.</w:t>
      </w:r>
    </w:p>
    <w:p w14:paraId="0394196F" w14:textId="64C759B1" w:rsidR="00E60F32" w:rsidRDefault="00E60F32" w:rsidP="00D60BB1">
      <w:pPr>
        <w:pStyle w:val="BodyText"/>
        <w:numPr>
          <w:ilvl w:val="0"/>
          <w:numId w:val="3"/>
        </w:numPr>
        <w:spacing w:before="185"/>
      </w:pPr>
      <w:r>
        <w:t xml:space="preserve">For noting, if we were to increase sales by a further $75,000 per annum, the club would be able to support a maintenance person of up to 20 hours per week at a cost of $30 per hour (includes salary and super). </w:t>
      </w:r>
    </w:p>
    <w:p w14:paraId="3A74DF03" w14:textId="77777777" w:rsidR="00E60F32" w:rsidRDefault="00E60F32" w:rsidP="00E60F32">
      <w:pPr>
        <w:pStyle w:val="BodyText"/>
        <w:spacing w:before="185"/>
      </w:pPr>
    </w:p>
    <w:p w14:paraId="7D299B19" w14:textId="4F06298D" w:rsidR="00E60F32" w:rsidRPr="001E2107" w:rsidRDefault="00E60F32" w:rsidP="00E60F32">
      <w:pPr>
        <w:pStyle w:val="BodyText"/>
        <w:numPr>
          <w:ilvl w:val="0"/>
          <w:numId w:val="3"/>
        </w:numPr>
        <w:spacing w:before="185"/>
        <w:sectPr w:rsidR="00E60F32" w:rsidRPr="001E2107">
          <w:footerReference w:type="default" r:id="rId8"/>
          <w:type w:val="continuous"/>
          <w:pgSz w:w="11900" w:h="16840"/>
          <w:pgMar w:top="1460" w:right="1240" w:bottom="1040" w:left="1220" w:header="720" w:footer="851" w:gutter="0"/>
          <w:pgNumType w:start="1"/>
          <w:cols w:space="720"/>
        </w:sectPr>
      </w:pPr>
    </w:p>
    <w:p w14:paraId="1E69EC67" w14:textId="3DF613A7" w:rsidR="00C60A8D" w:rsidRPr="00797819" w:rsidRDefault="003464C4" w:rsidP="00D60BB1">
      <w:pPr>
        <w:pStyle w:val="BodyText"/>
        <w:spacing w:before="188" w:line="237" w:lineRule="auto"/>
        <w:ind w:left="0" w:right="885"/>
        <w:rPr>
          <w:b/>
          <w:color w:val="FF0000"/>
        </w:rPr>
      </w:pPr>
      <w:r w:rsidRPr="00797819">
        <w:rPr>
          <w:b/>
        </w:rPr>
        <w:lastRenderedPageBreak/>
        <w:t>I also require approvals for the following:</w:t>
      </w:r>
    </w:p>
    <w:p w14:paraId="14A57567" w14:textId="7F91CA42" w:rsidR="00C60A8D" w:rsidRPr="00EE540F" w:rsidRDefault="00D60BB1" w:rsidP="00D60BB1">
      <w:pPr>
        <w:pStyle w:val="ListParagraph"/>
        <w:numPr>
          <w:ilvl w:val="0"/>
          <w:numId w:val="1"/>
        </w:numPr>
        <w:tabs>
          <w:tab w:val="left" w:pos="621"/>
          <w:tab w:val="left" w:pos="622"/>
        </w:tabs>
        <w:spacing w:before="193"/>
        <w:ind w:left="621" w:hanging="358"/>
      </w:pPr>
      <w:r>
        <w:rPr>
          <w:b/>
        </w:rPr>
        <w:t>Honor Boards</w:t>
      </w:r>
      <w:r w:rsidR="003464C4">
        <w:rPr>
          <w:b/>
        </w:rPr>
        <w:t xml:space="preserve"> </w:t>
      </w:r>
      <w:r w:rsidR="00EE540F">
        <w:rPr>
          <w:b/>
        </w:rPr>
        <w:t xml:space="preserve">– </w:t>
      </w:r>
      <w:r w:rsidR="00EE540F" w:rsidRPr="00EE540F">
        <w:t>We have received 1 quote to update honor board names</w:t>
      </w:r>
      <w:r w:rsidR="00EE540F">
        <w:t xml:space="preserve"> at $14 per line, for example: 2017 Tony Haworth is one line which includes installation. Currently we have 50 lines</w:t>
      </w:r>
      <w:r w:rsidR="00310B2F">
        <w:t xml:space="preserve"> at a cost of $700 plus GST, and I am seeking approval. </w:t>
      </w:r>
    </w:p>
    <w:p w14:paraId="7FB0E13F" w14:textId="6CE920F4" w:rsidR="00D60BB1" w:rsidRDefault="00D60BB1" w:rsidP="00D60BB1">
      <w:pPr>
        <w:pStyle w:val="ListParagraph"/>
        <w:numPr>
          <w:ilvl w:val="0"/>
          <w:numId w:val="1"/>
        </w:numPr>
        <w:tabs>
          <w:tab w:val="left" w:pos="621"/>
          <w:tab w:val="left" w:pos="622"/>
        </w:tabs>
        <w:spacing w:before="193"/>
        <w:ind w:left="621" w:hanging="358"/>
      </w:pPr>
      <w:r>
        <w:rPr>
          <w:b/>
        </w:rPr>
        <w:t>Court Shades</w:t>
      </w:r>
      <w:r w:rsidR="00EE540F">
        <w:rPr>
          <w:b/>
        </w:rPr>
        <w:t xml:space="preserve"> – </w:t>
      </w:r>
      <w:r w:rsidR="00EE540F" w:rsidRPr="00EE540F">
        <w:t>we have had 1 quote for replacement of 9 shades at a cost of $6,651</w:t>
      </w:r>
      <w:r w:rsidR="00EE540F">
        <w:t>. I note that we do not have the funds to pay for this at present until we obtain approval for the 2:1 Council Grant for LED lighting. I believe we should hold off until after Council announce the grant.</w:t>
      </w:r>
    </w:p>
    <w:p w14:paraId="46A22395" w14:textId="43B5D95B" w:rsidR="00310B2F" w:rsidRDefault="00310B2F" w:rsidP="00D60BB1">
      <w:pPr>
        <w:pStyle w:val="ListParagraph"/>
        <w:numPr>
          <w:ilvl w:val="0"/>
          <w:numId w:val="1"/>
        </w:numPr>
        <w:tabs>
          <w:tab w:val="left" w:pos="621"/>
          <w:tab w:val="left" w:pos="622"/>
        </w:tabs>
        <w:spacing w:before="193"/>
        <w:ind w:left="621" w:hanging="358"/>
      </w:pPr>
      <w:r>
        <w:rPr>
          <w:b/>
        </w:rPr>
        <w:t>Casual Junior –</w:t>
      </w:r>
      <w:r>
        <w:t xml:space="preserve"> 2 hours per week during school term. We have continued to receive complaints from Central Coast Sports College about the state of Courts 22 &amp; 23 each Wednesday. If we could hire a junior looking for work at say $20-$25 per hour to blow these courts before use, this would assist us in ensuring our largest court-hirer is satisfied.</w:t>
      </w:r>
    </w:p>
    <w:p w14:paraId="32603EDE" w14:textId="1FB623FD" w:rsidR="00792BDF" w:rsidRPr="00EE540F" w:rsidRDefault="00792BDF" w:rsidP="00D60BB1">
      <w:pPr>
        <w:pStyle w:val="ListParagraph"/>
        <w:numPr>
          <w:ilvl w:val="0"/>
          <w:numId w:val="1"/>
        </w:numPr>
        <w:tabs>
          <w:tab w:val="left" w:pos="621"/>
          <w:tab w:val="left" w:pos="622"/>
        </w:tabs>
        <w:spacing w:before="193"/>
        <w:ind w:left="621" w:hanging="358"/>
      </w:pPr>
      <w:r>
        <w:rPr>
          <w:b/>
        </w:rPr>
        <w:t>Junior Development –</w:t>
      </w:r>
      <w:r>
        <w:t xml:space="preserve"> recommendation to assist Shannon Spencer with $300 to support her costs as a representative of this years NSW Pizzey Cup side.</w:t>
      </w:r>
    </w:p>
    <w:p w14:paraId="67F8F230" w14:textId="64AB03A8" w:rsidR="00B60D1F" w:rsidRPr="002262A4" w:rsidRDefault="00EE540F" w:rsidP="00EE540F">
      <w:pPr>
        <w:tabs>
          <w:tab w:val="left" w:pos="621"/>
          <w:tab w:val="left" w:pos="622"/>
        </w:tabs>
        <w:spacing w:before="193"/>
        <w:rPr>
          <w:b/>
        </w:rPr>
      </w:pPr>
      <w:r w:rsidRPr="00EE540F">
        <w:rPr>
          <w:b/>
        </w:rPr>
        <w:t>For Noting</w:t>
      </w:r>
    </w:p>
    <w:p w14:paraId="09E5B293" w14:textId="379B8126" w:rsidR="00B60D1F" w:rsidRPr="00B60D1F" w:rsidRDefault="00B60D1F" w:rsidP="00B60D1F">
      <w:pPr>
        <w:widowControl/>
        <w:numPr>
          <w:ilvl w:val="0"/>
          <w:numId w:val="8"/>
        </w:numPr>
        <w:autoSpaceDE/>
        <w:autoSpaceDN/>
        <w:rPr>
          <w:rFonts w:eastAsia="Times New Roman"/>
          <w:color w:val="000000"/>
          <w:sz w:val="24"/>
          <w:szCs w:val="24"/>
          <w:lang w:val="en-AU"/>
        </w:rPr>
      </w:pPr>
      <w:r w:rsidRPr="00B60D1F">
        <w:rPr>
          <w:rFonts w:eastAsia="Times New Roman"/>
          <w:b/>
          <w:color w:val="000000"/>
          <w:lang w:val="en-AU"/>
        </w:rPr>
        <w:t>Increase of school court hire</w:t>
      </w:r>
      <w:r w:rsidRPr="00B60D1F">
        <w:rPr>
          <w:rFonts w:eastAsia="Times New Roman"/>
          <w:color w:val="000000"/>
          <w:lang w:val="en-AU"/>
        </w:rPr>
        <w:t xml:space="preserve"> from $3.50-$4.00 per child, this will commence Term 2.</w:t>
      </w:r>
    </w:p>
    <w:p w14:paraId="5077C01D" w14:textId="3D8054B9" w:rsidR="00EE540F" w:rsidRDefault="00EE540F" w:rsidP="00D60BB1">
      <w:pPr>
        <w:pStyle w:val="ListParagraph"/>
        <w:numPr>
          <w:ilvl w:val="0"/>
          <w:numId w:val="1"/>
        </w:numPr>
        <w:tabs>
          <w:tab w:val="left" w:pos="621"/>
          <w:tab w:val="left" w:pos="622"/>
        </w:tabs>
        <w:spacing w:before="193"/>
        <w:ind w:left="621" w:hanging="358"/>
      </w:pPr>
      <w:r>
        <w:rPr>
          <w:b/>
        </w:rPr>
        <w:t xml:space="preserve">Blocked Drain - </w:t>
      </w:r>
      <w:r w:rsidRPr="00EE540F">
        <w:t>The drain from the carpark next to the committee room to court 13 is blocked</w:t>
      </w:r>
      <w:r>
        <w:t xml:space="preserve"> due to the roots from palm trees. A quote has been provided by Deepwater Plumbing at $9,416. Mike Phillips does not believe the work is required immediately but will need to be undertaken.</w:t>
      </w:r>
    </w:p>
    <w:p w14:paraId="7F3F1CE3" w14:textId="04AFBB24" w:rsidR="002262A4" w:rsidRPr="00EE540F" w:rsidRDefault="002262A4" w:rsidP="00D60BB1">
      <w:pPr>
        <w:pStyle w:val="ListParagraph"/>
        <w:numPr>
          <w:ilvl w:val="0"/>
          <w:numId w:val="1"/>
        </w:numPr>
        <w:tabs>
          <w:tab w:val="left" w:pos="621"/>
          <w:tab w:val="left" w:pos="622"/>
        </w:tabs>
        <w:spacing w:before="193"/>
        <w:ind w:left="621" w:hanging="358"/>
      </w:pPr>
      <w:r>
        <w:rPr>
          <w:b/>
        </w:rPr>
        <w:t>Audit –</w:t>
      </w:r>
      <w:r>
        <w:t xml:space="preserve"> does anyone have any recommendations for auditing of figures?</w:t>
      </w:r>
    </w:p>
    <w:p w14:paraId="023C1F61" w14:textId="77777777" w:rsidR="00D60BB1" w:rsidRDefault="00D60BB1" w:rsidP="00D60BB1">
      <w:pPr>
        <w:pStyle w:val="Heading1"/>
        <w:spacing w:before="188"/>
        <w:ind w:left="0"/>
        <w:rPr>
          <w:u w:val="none"/>
        </w:rPr>
      </w:pPr>
      <w:r>
        <w:rPr>
          <w:u w:val="thick"/>
        </w:rPr>
        <w:t>Current grant update is as follows</w:t>
      </w:r>
      <w:r>
        <w:rPr>
          <w:u w:val="none"/>
        </w:rPr>
        <w:t>:</w:t>
      </w:r>
    </w:p>
    <w:p w14:paraId="578C7273" w14:textId="77777777" w:rsidR="00D60BB1" w:rsidRDefault="00D60BB1" w:rsidP="00D60BB1">
      <w:pPr>
        <w:pStyle w:val="ListParagraph"/>
        <w:numPr>
          <w:ilvl w:val="0"/>
          <w:numId w:val="1"/>
        </w:numPr>
        <w:tabs>
          <w:tab w:val="left" w:pos="579"/>
          <w:tab w:val="left" w:pos="580"/>
        </w:tabs>
        <w:spacing w:before="207" w:line="223" w:lineRule="auto"/>
        <w:ind w:right="652" w:hanging="359"/>
      </w:pPr>
      <w:r>
        <w:rPr>
          <w:b/>
        </w:rPr>
        <w:t>Australian Government Community Sport Infrastructure Grant Program</w:t>
      </w:r>
      <w:r>
        <w:t>. We missed out on the first round however a second round will be provided in early</w:t>
      </w:r>
      <w:r>
        <w:rPr>
          <w:spacing w:val="-40"/>
        </w:rPr>
        <w:t xml:space="preserve"> </w:t>
      </w:r>
      <w:r>
        <w:t>2019.</w:t>
      </w:r>
    </w:p>
    <w:p w14:paraId="6B48CEE9" w14:textId="426389F4" w:rsidR="00D60BB1" w:rsidRPr="00D60BB1" w:rsidRDefault="00D60BB1" w:rsidP="00D60BB1">
      <w:pPr>
        <w:pStyle w:val="ListParagraph"/>
        <w:numPr>
          <w:ilvl w:val="0"/>
          <w:numId w:val="1"/>
        </w:numPr>
        <w:tabs>
          <w:tab w:val="left" w:pos="579"/>
          <w:tab w:val="left" w:pos="580"/>
        </w:tabs>
        <w:spacing w:before="33" w:line="220" w:lineRule="auto"/>
        <w:ind w:right="103" w:hanging="359"/>
      </w:pPr>
      <w:r>
        <w:rPr>
          <w:b/>
        </w:rPr>
        <w:t xml:space="preserve">Volunteers Grant: </w:t>
      </w:r>
      <w:r w:rsidRPr="00D60BB1">
        <w:t>Unfortunately, we have been unsuccessful.</w:t>
      </w:r>
    </w:p>
    <w:p w14:paraId="6336B694" w14:textId="53959188" w:rsidR="00D60BB1" w:rsidRDefault="00D60BB1" w:rsidP="00D60BB1">
      <w:pPr>
        <w:pStyle w:val="ListParagraph"/>
        <w:numPr>
          <w:ilvl w:val="0"/>
          <w:numId w:val="1"/>
        </w:numPr>
        <w:tabs>
          <w:tab w:val="left" w:pos="579"/>
          <w:tab w:val="left" w:pos="580"/>
        </w:tabs>
        <w:spacing w:before="24" w:line="232" w:lineRule="auto"/>
        <w:ind w:right="393" w:hanging="359"/>
      </w:pPr>
      <w:r>
        <w:rPr>
          <w:b/>
        </w:rPr>
        <w:t xml:space="preserve">ANZ Hot Shots $10,000 club improvement grant </w:t>
      </w:r>
      <w:r>
        <w:t>– this has been approved and paid with agreement from Committee to determine use of funds.</w:t>
      </w:r>
    </w:p>
    <w:p w14:paraId="4507485F" w14:textId="110E4682" w:rsidR="00D60BB1" w:rsidRDefault="00D60BB1" w:rsidP="00D60BB1">
      <w:pPr>
        <w:pStyle w:val="ListParagraph"/>
        <w:numPr>
          <w:ilvl w:val="0"/>
          <w:numId w:val="1"/>
        </w:numPr>
        <w:tabs>
          <w:tab w:val="left" w:pos="579"/>
          <w:tab w:val="left" w:pos="580"/>
        </w:tabs>
        <w:spacing w:before="34" w:line="223" w:lineRule="auto"/>
        <w:ind w:right="165" w:hanging="359"/>
      </w:pPr>
      <w:r>
        <w:rPr>
          <w:b/>
        </w:rPr>
        <w:t>Central Coast Community Infrastructure Grant (14/1 – 28 /2</w:t>
      </w:r>
      <w:r>
        <w:t>). This has been submitted and we should have a decision by mid-June 2019.</w:t>
      </w:r>
    </w:p>
    <w:p w14:paraId="2999CB9E" w14:textId="77777777" w:rsidR="00D60BB1" w:rsidRDefault="00D60BB1" w:rsidP="00D60BB1">
      <w:pPr>
        <w:pStyle w:val="ListParagraph"/>
        <w:numPr>
          <w:ilvl w:val="0"/>
          <w:numId w:val="1"/>
        </w:numPr>
        <w:tabs>
          <w:tab w:val="left" w:pos="579"/>
          <w:tab w:val="left" w:pos="580"/>
        </w:tabs>
        <w:spacing w:before="34" w:line="223" w:lineRule="auto"/>
        <w:ind w:right="165" w:hanging="359"/>
      </w:pPr>
      <w:r>
        <w:rPr>
          <w:b/>
        </w:rPr>
        <w:t xml:space="preserve">Central Coast Community Grant Program (14/1 - 28/2). </w:t>
      </w:r>
      <w:r>
        <w:t>This has been submitted and we should have a decision by mid-June 2019.</w:t>
      </w:r>
    </w:p>
    <w:p w14:paraId="27D39DD6" w14:textId="77777777" w:rsidR="00D60BB1" w:rsidRDefault="00D60BB1" w:rsidP="00D60BB1">
      <w:pPr>
        <w:pStyle w:val="ListParagraph"/>
        <w:numPr>
          <w:ilvl w:val="0"/>
          <w:numId w:val="1"/>
        </w:numPr>
        <w:tabs>
          <w:tab w:val="left" w:pos="579"/>
          <w:tab w:val="left" w:pos="580"/>
        </w:tabs>
        <w:spacing w:before="34" w:line="223" w:lineRule="auto"/>
        <w:ind w:right="165" w:hanging="359"/>
      </w:pPr>
      <w:r w:rsidRPr="00D60BB1">
        <w:rPr>
          <w:b/>
        </w:rPr>
        <w:t xml:space="preserve">Central Coast Awarding Sponsorship (14/1-28/2). </w:t>
      </w:r>
      <w:r>
        <w:t>This has been submitted and we should have a decision by mid-June 2019.</w:t>
      </w:r>
    </w:p>
    <w:p w14:paraId="47ADD214" w14:textId="77777777" w:rsidR="00D60BB1" w:rsidRDefault="00D60BB1" w:rsidP="00D60BB1">
      <w:pPr>
        <w:pStyle w:val="ListParagraph"/>
        <w:numPr>
          <w:ilvl w:val="0"/>
          <w:numId w:val="1"/>
        </w:numPr>
        <w:tabs>
          <w:tab w:val="left" w:pos="579"/>
          <w:tab w:val="left" w:pos="580"/>
        </w:tabs>
        <w:spacing w:before="34" w:line="223" w:lineRule="auto"/>
        <w:ind w:right="165" w:hanging="359"/>
      </w:pPr>
      <w:r w:rsidRPr="00D60BB1">
        <w:rPr>
          <w:b/>
        </w:rPr>
        <w:t xml:space="preserve">Central Coast Community Support Grant Program (All year round) – </w:t>
      </w:r>
      <w:r>
        <w:t>This has been submitted and we should have a decision by mid-June 2019.</w:t>
      </w:r>
    </w:p>
    <w:p w14:paraId="5B37030D" w14:textId="72611E02" w:rsidR="00D60BB1" w:rsidRPr="003E3542" w:rsidRDefault="00D60BB1" w:rsidP="00D60BB1">
      <w:pPr>
        <w:pStyle w:val="ListParagraph"/>
        <w:numPr>
          <w:ilvl w:val="0"/>
          <w:numId w:val="1"/>
        </w:numPr>
        <w:tabs>
          <w:tab w:val="left" w:pos="579"/>
          <w:tab w:val="left" w:pos="580"/>
        </w:tabs>
        <w:spacing w:before="27" w:line="223" w:lineRule="auto"/>
        <w:ind w:right="311" w:hanging="359"/>
        <w:rPr>
          <w:color w:val="000000" w:themeColor="text1"/>
        </w:rPr>
      </w:pPr>
      <w:r w:rsidRPr="003E3542">
        <w:rPr>
          <w:b/>
          <w:color w:val="000000" w:themeColor="text1"/>
        </w:rPr>
        <w:t xml:space="preserve">Community Club Grants Round – </w:t>
      </w:r>
      <w:r w:rsidRPr="003E3542">
        <w:rPr>
          <w:color w:val="000000" w:themeColor="text1"/>
        </w:rPr>
        <w:t>open from March 2019 for grants up to $1,000,000. We are looking to apply for resurfacing and upgrading of Courts 10,11,12 &amp;13 and the 10 lower complex tennis courts including new fencing and LED lights. We will need to start working on quotes to submit this grant and seek assistance to do</w:t>
      </w:r>
      <w:r w:rsidRPr="003E3542">
        <w:rPr>
          <w:color w:val="000000" w:themeColor="text1"/>
          <w:spacing w:val="-19"/>
        </w:rPr>
        <w:t xml:space="preserve"> </w:t>
      </w:r>
      <w:r w:rsidRPr="003E3542">
        <w:rPr>
          <w:color w:val="000000" w:themeColor="text1"/>
        </w:rPr>
        <w:t>this.</w:t>
      </w:r>
    </w:p>
    <w:p w14:paraId="12C91D47" w14:textId="3D2CD4A4" w:rsidR="00D60BB1" w:rsidRPr="00DE420D" w:rsidRDefault="001929E4" w:rsidP="00D60BB1">
      <w:pPr>
        <w:pStyle w:val="ListParagraph"/>
        <w:numPr>
          <w:ilvl w:val="0"/>
          <w:numId w:val="1"/>
        </w:numPr>
        <w:tabs>
          <w:tab w:val="left" w:pos="579"/>
          <w:tab w:val="left" w:pos="580"/>
        </w:tabs>
        <w:spacing w:before="27" w:line="223" w:lineRule="auto"/>
        <w:ind w:right="311" w:hanging="359"/>
        <w:rPr>
          <w:color w:val="000000" w:themeColor="text1"/>
        </w:rPr>
      </w:pPr>
      <w:r w:rsidRPr="00DE420D">
        <w:rPr>
          <w:b/>
          <w:color w:val="000000" w:themeColor="text1"/>
        </w:rPr>
        <w:t>My Community Grant</w:t>
      </w:r>
      <w:r w:rsidRPr="00DE420D">
        <w:rPr>
          <w:color w:val="000000" w:themeColor="text1"/>
        </w:rPr>
        <w:t xml:space="preserve"> – NSW State Government grant used for </w:t>
      </w:r>
      <w:r w:rsidR="00DE420D" w:rsidRPr="00DE420D">
        <w:rPr>
          <w:color w:val="000000" w:themeColor="text1"/>
        </w:rPr>
        <w:t xml:space="preserve">property improvements. </w:t>
      </w:r>
      <w:r w:rsidR="00DE420D">
        <w:rPr>
          <w:color w:val="000000" w:themeColor="text1"/>
        </w:rPr>
        <w:t xml:space="preserve">Grants are from $20,000 to $200,000 and involve an application by 15 May 2019, and a voting process between 15 July and 15 August. </w:t>
      </w:r>
      <w:r w:rsidR="00EE540F">
        <w:rPr>
          <w:color w:val="000000" w:themeColor="text1"/>
        </w:rPr>
        <w:t>We will need to decide where these funds should be allocated to.</w:t>
      </w:r>
    </w:p>
    <w:p w14:paraId="687CFCBC" w14:textId="77777777" w:rsidR="00D60BB1" w:rsidRDefault="00D60BB1" w:rsidP="00D60BB1">
      <w:pPr>
        <w:pStyle w:val="BodyText"/>
        <w:spacing w:before="4"/>
        <w:ind w:left="0"/>
        <w:rPr>
          <w:sz w:val="24"/>
        </w:rPr>
      </w:pPr>
    </w:p>
    <w:p w14:paraId="68BF8432" w14:textId="298F592F" w:rsidR="00D60BB1" w:rsidRPr="00792BDF" w:rsidRDefault="00D60BB1" w:rsidP="00792BDF">
      <w:pPr>
        <w:pStyle w:val="Heading2"/>
        <w:rPr>
          <w:u w:val="none"/>
        </w:rPr>
      </w:pPr>
      <w:r>
        <w:rPr>
          <w:u w:val="thick"/>
        </w:rPr>
        <w:t>Outstanding Items for approval</w:t>
      </w:r>
    </w:p>
    <w:p w14:paraId="123031E2" w14:textId="4AE49D44" w:rsidR="00D60BB1" w:rsidRDefault="00D60BB1" w:rsidP="00310B2F">
      <w:pPr>
        <w:pStyle w:val="BodyText"/>
        <w:spacing w:before="93"/>
        <w:ind w:left="119" w:right="141"/>
      </w:pPr>
      <w:r>
        <w:t>Please advise if you have any items or activities you would like to fund over the next month for approval – such as advertising, maintenance, printing, etc.</w:t>
      </w:r>
    </w:p>
    <w:p w14:paraId="13B0D475" w14:textId="4089D1A3" w:rsidR="00C60A8D" w:rsidRDefault="00C60A8D" w:rsidP="00D60BB1">
      <w:pPr>
        <w:pStyle w:val="Heading1"/>
        <w:spacing w:before="188"/>
        <w:ind w:left="0"/>
        <w:rPr>
          <w:u w:val="none"/>
        </w:rPr>
      </w:pPr>
      <w:bookmarkStart w:id="0" w:name="_GoBack"/>
      <w:bookmarkEnd w:id="0"/>
    </w:p>
    <w:sectPr w:rsidR="00C60A8D">
      <w:pgSz w:w="11900" w:h="16840"/>
      <w:pgMar w:top="1280" w:right="1240" w:bottom="1040" w:left="1220" w:header="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DF80" w14:textId="77777777" w:rsidR="004D54C8" w:rsidRDefault="004D54C8">
      <w:r>
        <w:separator/>
      </w:r>
    </w:p>
  </w:endnote>
  <w:endnote w:type="continuationSeparator" w:id="0">
    <w:p w14:paraId="5D95C690" w14:textId="77777777" w:rsidR="004D54C8" w:rsidRDefault="004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CF93" w14:textId="77777777" w:rsidR="00C60A8D" w:rsidRDefault="004D54C8">
    <w:pPr>
      <w:pStyle w:val="BodyText"/>
      <w:spacing w:line="14" w:lineRule="auto"/>
      <w:ind w:left="0"/>
      <w:rPr>
        <w:sz w:val="20"/>
      </w:rPr>
    </w:pPr>
    <w:r>
      <w:pict w14:anchorId="0CBF4FFB">
        <v:shapetype id="_x0000_t202" coordsize="21600,21600" o:spt="202" path="m,l,21600r21600,l21600,xe">
          <v:stroke joinstyle="miter"/>
          <v:path gradientshapeok="t" o:connecttype="rect"/>
        </v:shapetype>
        <v:shape id="_x0000_s2050" type="#_x0000_t202" alt="" style="position:absolute;margin-left:64.95pt;margin-top:788.45pt;width:10.15pt;height:14.35pt;z-index:-10888;mso-wrap-style:square;mso-wrap-edited:f;mso-width-percent:0;mso-height-percent:0;mso-position-horizontal-relative:page;mso-position-vertical-relative:page;mso-width-percent:0;mso-height-percent:0;v-text-anchor:top" filled="f" stroked="f">
          <v:textbox inset="0,0,0,0">
            <w:txbxContent>
              <w:p w14:paraId="1F3FAA2E" w14:textId="77777777" w:rsidR="00C60A8D" w:rsidRDefault="003464C4">
                <w:pPr>
                  <w:pStyle w:val="BodyText"/>
                  <w:spacing w:before="13"/>
                  <w:ind w:left="40"/>
                </w:pPr>
                <w:r>
                  <w:fldChar w:fldCharType="begin"/>
                </w:r>
                <w:r>
                  <w:instrText xml:space="preserve"> PAGE </w:instrText>
                </w:r>
                <w:r>
                  <w:fldChar w:fldCharType="separate"/>
                </w:r>
                <w:r>
                  <w:t>1</w:t>
                </w:r>
                <w:r>
                  <w:fldChar w:fldCharType="end"/>
                </w:r>
              </w:p>
            </w:txbxContent>
          </v:textbox>
          <w10:wrap anchorx="page" anchory="page"/>
        </v:shape>
      </w:pict>
    </w:r>
    <w:r>
      <w:pict w14:anchorId="25F4AF23">
        <v:shape id="_x0000_s2049" type="#_x0000_t202" alt="" style="position:absolute;margin-left:208.75pt;margin-top:788.45pt;width:167.7pt;height:14.35pt;z-index:-10864;mso-wrap-style:square;mso-wrap-edited:f;mso-width-percent:0;mso-height-percent:0;mso-position-horizontal-relative:page;mso-position-vertical-relative:page;mso-width-percent:0;mso-height-percent:0;v-text-anchor:top" filled="f" stroked="f">
          <v:textbox inset="0,0,0,0">
            <w:txbxContent>
              <w:p w14:paraId="3BDB971B" w14:textId="0541CDA4" w:rsidR="00C60A8D" w:rsidRDefault="003464C4">
                <w:pPr>
                  <w:pStyle w:val="BodyText"/>
                  <w:spacing w:before="13"/>
                  <w:ind w:left="20"/>
                </w:pPr>
                <w:r>
                  <w:t>Treasurers Report 1</w:t>
                </w:r>
                <w:r w:rsidR="001E2107">
                  <w:t>5</w:t>
                </w:r>
                <w:r>
                  <w:t xml:space="preserve"> </w:t>
                </w:r>
                <w:r w:rsidR="001E2107">
                  <w:t>April</w:t>
                </w:r>
                <w:r>
                  <w:t xml:space="preserve">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14A8" w14:textId="77777777" w:rsidR="004D54C8" w:rsidRDefault="004D54C8">
      <w:r>
        <w:separator/>
      </w:r>
    </w:p>
  </w:footnote>
  <w:footnote w:type="continuationSeparator" w:id="0">
    <w:p w14:paraId="7071C466" w14:textId="77777777" w:rsidR="004D54C8" w:rsidRDefault="004D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01"/>
    <w:multiLevelType w:val="hybridMultilevel"/>
    <w:tmpl w:val="83282C0E"/>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 w15:restartNumberingAfterBreak="0">
    <w:nsid w:val="09467EE2"/>
    <w:multiLevelType w:val="hybridMultilevel"/>
    <w:tmpl w:val="FED61C92"/>
    <w:lvl w:ilvl="0" w:tplc="CB9E0B6A">
      <w:start w:val="1"/>
      <w:numFmt w:val="bullet"/>
      <w:lvlText w:val=""/>
      <w:lvlJc w:val="left"/>
      <w:pPr>
        <w:ind w:left="623"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24CD"/>
    <w:multiLevelType w:val="hybridMultilevel"/>
    <w:tmpl w:val="1742B24E"/>
    <w:lvl w:ilvl="0" w:tplc="C8E0F342">
      <w:numFmt w:val="bullet"/>
      <w:lvlText w:val="•"/>
      <w:lvlJc w:val="left"/>
      <w:pPr>
        <w:ind w:left="579" w:hanging="360"/>
      </w:pPr>
      <w:rPr>
        <w:rFonts w:ascii="Symbol" w:eastAsia="Symbol" w:hAnsi="Symbol" w:cs="Symbol" w:hint="default"/>
        <w:w w:val="100"/>
        <w:sz w:val="22"/>
        <w:szCs w:val="22"/>
      </w:rPr>
    </w:lvl>
    <w:lvl w:ilvl="1" w:tplc="E232374E">
      <w:numFmt w:val="bullet"/>
      <w:lvlText w:val="•"/>
      <w:lvlJc w:val="left"/>
      <w:pPr>
        <w:ind w:left="1466" w:hanging="360"/>
      </w:pPr>
      <w:rPr>
        <w:rFonts w:hint="default"/>
      </w:rPr>
    </w:lvl>
    <w:lvl w:ilvl="2" w:tplc="35D83230">
      <w:numFmt w:val="bullet"/>
      <w:lvlText w:val="•"/>
      <w:lvlJc w:val="left"/>
      <w:pPr>
        <w:ind w:left="2352" w:hanging="360"/>
      </w:pPr>
      <w:rPr>
        <w:rFonts w:hint="default"/>
      </w:rPr>
    </w:lvl>
    <w:lvl w:ilvl="3" w:tplc="D4BCB714">
      <w:numFmt w:val="bullet"/>
      <w:lvlText w:val="•"/>
      <w:lvlJc w:val="left"/>
      <w:pPr>
        <w:ind w:left="3238" w:hanging="360"/>
      </w:pPr>
      <w:rPr>
        <w:rFonts w:hint="default"/>
      </w:rPr>
    </w:lvl>
    <w:lvl w:ilvl="4" w:tplc="11320440">
      <w:numFmt w:val="bullet"/>
      <w:lvlText w:val="•"/>
      <w:lvlJc w:val="left"/>
      <w:pPr>
        <w:ind w:left="4124" w:hanging="360"/>
      </w:pPr>
      <w:rPr>
        <w:rFonts w:hint="default"/>
      </w:rPr>
    </w:lvl>
    <w:lvl w:ilvl="5" w:tplc="5B6CCC1E">
      <w:numFmt w:val="bullet"/>
      <w:lvlText w:val="•"/>
      <w:lvlJc w:val="left"/>
      <w:pPr>
        <w:ind w:left="5010" w:hanging="360"/>
      </w:pPr>
      <w:rPr>
        <w:rFonts w:hint="default"/>
      </w:rPr>
    </w:lvl>
    <w:lvl w:ilvl="6" w:tplc="3042E268">
      <w:numFmt w:val="bullet"/>
      <w:lvlText w:val="•"/>
      <w:lvlJc w:val="left"/>
      <w:pPr>
        <w:ind w:left="5896" w:hanging="360"/>
      </w:pPr>
      <w:rPr>
        <w:rFonts w:hint="default"/>
      </w:rPr>
    </w:lvl>
    <w:lvl w:ilvl="7" w:tplc="412A7AE6">
      <w:numFmt w:val="bullet"/>
      <w:lvlText w:val="•"/>
      <w:lvlJc w:val="left"/>
      <w:pPr>
        <w:ind w:left="6782" w:hanging="360"/>
      </w:pPr>
      <w:rPr>
        <w:rFonts w:hint="default"/>
      </w:rPr>
    </w:lvl>
    <w:lvl w:ilvl="8" w:tplc="69463DFA">
      <w:numFmt w:val="bullet"/>
      <w:lvlText w:val="•"/>
      <w:lvlJc w:val="left"/>
      <w:pPr>
        <w:ind w:left="7668" w:hanging="360"/>
      </w:pPr>
      <w:rPr>
        <w:rFonts w:hint="default"/>
      </w:rPr>
    </w:lvl>
  </w:abstractNum>
  <w:abstractNum w:abstractNumId="3" w15:restartNumberingAfterBreak="0">
    <w:nsid w:val="1889028E"/>
    <w:multiLevelType w:val="hybridMultilevel"/>
    <w:tmpl w:val="7C6A4D2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15:restartNumberingAfterBreak="0">
    <w:nsid w:val="27FF1CCC"/>
    <w:multiLevelType w:val="hybridMultilevel"/>
    <w:tmpl w:val="F796CB56"/>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15:restartNumberingAfterBreak="0">
    <w:nsid w:val="293D4FBC"/>
    <w:multiLevelType w:val="hybridMultilevel"/>
    <w:tmpl w:val="42620BD8"/>
    <w:lvl w:ilvl="0" w:tplc="04090001">
      <w:start w:val="1"/>
      <w:numFmt w:val="bullet"/>
      <w:lvlText w:val=""/>
      <w:lvlJc w:val="left"/>
      <w:pPr>
        <w:ind w:left="623" w:hanging="360"/>
      </w:pPr>
      <w:rPr>
        <w:rFonts w:ascii="Symbol" w:hAnsi="Symbol"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6" w15:restartNumberingAfterBreak="0">
    <w:nsid w:val="45E47018"/>
    <w:multiLevelType w:val="hybridMultilevel"/>
    <w:tmpl w:val="6136F232"/>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7" w15:restartNumberingAfterBreak="0">
    <w:nsid w:val="4BFF48F8"/>
    <w:multiLevelType w:val="hybridMultilevel"/>
    <w:tmpl w:val="448ADA9A"/>
    <w:lvl w:ilvl="0" w:tplc="CB9E0B6A">
      <w:start w:val="1"/>
      <w:numFmt w:val="bullet"/>
      <w:lvlText w:val=""/>
      <w:lvlJc w:val="left"/>
      <w:pPr>
        <w:ind w:left="623" w:hanging="360"/>
      </w:pPr>
      <w:rPr>
        <w:rFonts w:ascii="Arial" w:hAnsi="Arial" w:cs="Arial"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8" w15:restartNumberingAfterBreak="0">
    <w:nsid w:val="4FD26BE9"/>
    <w:multiLevelType w:val="multilevel"/>
    <w:tmpl w:val="1B92F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4"/>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60A8D"/>
    <w:rsid w:val="001929E4"/>
    <w:rsid w:val="001B4A0F"/>
    <w:rsid w:val="001E2107"/>
    <w:rsid w:val="00210B3D"/>
    <w:rsid w:val="002262A4"/>
    <w:rsid w:val="00310B2F"/>
    <w:rsid w:val="003464C4"/>
    <w:rsid w:val="0039291D"/>
    <w:rsid w:val="003E3542"/>
    <w:rsid w:val="00464B5D"/>
    <w:rsid w:val="004D54C8"/>
    <w:rsid w:val="006C51A6"/>
    <w:rsid w:val="00792BDF"/>
    <w:rsid w:val="00797819"/>
    <w:rsid w:val="009A6090"/>
    <w:rsid w:val="009B04B4"/>
    <w:rsid w:val="00B60D1F"/>
    <w:rsid w:val="00C60A8D"/>
    <w:rsid w:val="00D06ED1"/>
    <w:rsid w:val="00D60BB1"/>
    <w:rsid w:val="00D8112B"/>
    <w:rsid w:val="00DE420D"/>
    <w:rsid w:val="00E04F19"/>
    <w:rsid w:val="00E21F46"/>
    <w:rsid w:val="00E60F32"/>
    <w:rsid w:val="00EA3FEE"/>
    <w:rsid w:val="00EE540F"/>
    <w:rsid w:val="00F17ABC"/>
    <w:rsid w:val="00F33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755BD"/>
  <w15:docId w15:val="{856F61C1-4A96-6C43-B8D2-F349F30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261"/>
      <w:outlineLvl w:val="0"/>
    </w:pPr>
    <w:rPr>
      <w:b/>
      <w:bCs/>
      <w:sz w:val="24"/>
      <w:szCs w:val="24"/>
      <w:u w:val="single" w:color="000000"/>
    </w:rPr>
  </w:style>
  <w:style w:type="paragraph" w:styleId="Heading2">
    <w:name w:val="heading 2"/>
    <w:basedOn w:val="Normal"/>
    <w:uiPriority w:val="9"/>
    <w:unhideWhenUsed/>
    <w:qFormat/>
    <w:pPr>
      <w:ind w:left="11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9"/>
    </w:pPr>
  </w:style>
  <w:style w:type="paragraph" w:styleId="ListParagraph">
    <w:name w:val="List Paragraph"/>
    <w:basedOn w:val="Normal"/>
    <w:uiPriority w:val="34"/>
    <w:qFormat/>
    <w:pPr>
      <w:spacing w:before="201"/>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107"/>
    <w:pPr>
      <w:tabs>
        <w:tab w:val="center" w:pos="4680"/>
        <w:tab w:val="right" w:pos="9360"/>
      </w:tabs>
    </w:pPr>
  </w:style>
  <w:style w:type="character" w:customStyle="1" w:styleId="HeaderChar">
    <w:name w:val="Header Char"/>
    <w:basedOn w:val="DefaultParagraphFont"/>
    <w:link w:val="Header"/>
    <w:uiPriority w:val="99"/>
    <w:rsid w:val="001E2107"/>
    <w:rPr>
      <w:rFonts w:ascii="Arial" w:eastAsia="Arial" w:hAnsi="Arial" w:cs="Arial"/>
    </w:rPr>
  </w:style>
  <w:style w:type="paragraph" w:styleId="Footer">
    <w:name w:val="footer"/>
    <w:basedOn w:val="Normal"/>
    <w:link w:val="FooterChar"/>
    <w:uiPriority w:val="99"/>
    <w:unhideWhenUsed/>
    <w:rsid w:val="001E2107"/>
    <w:pPr>
      <w:tabs>
        <w:tab w:val="center" w:pos="4680"/>
        <w:tab w:val="right" w:pos="9360"/>
      </w:tabs>
    </w:pPr>
  </w:style>
  <w:style w:type="character" w:customStyle="1" w:styleId="FooterChar">
    <w:name w:val="Footer Char"/>
    <w:basedOn w:val="DefaultParagraphFont"/>
    <w:link w:val="Footer"/>
    <w:uiPriority w:val="99"/>
    <w:rsid w:val="001E2107"/>
    <w:rPr>
      <w:rFonts w:ascii="Arial" w:eastAsia="Arial" w:hAnsi="Arial" w:cs="Arial"/>
    </w:rPr>
  </w:style>
  <w:style w:type="table" w:styleId="TableGrid">
    <w:name w:val="Table Grid"/>
    <w:basedOn w:val="TableNormal"/>
    <w:uiPriority w:val="39"/>
    <w:rsid w:val="001E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E210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E3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542"/>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F655-3D60-0942-97D0-1D81FCA8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Haworth</cp:lastModifiedBy>
  <cp:revision>3</cp:revision>
  <cp:lastPrinted>2019-04-15T02:51:00Z</cp:lastPrinted>
  <dcterms:created xsi:type="dcterms:W3CDTF">2019-04-15T02:51:00Z</dcterms:created>
  <dcterms:modified xsi:type="dcterms:W3CDTF">2019-04-15T02:51:00Z</dcterms:modified>
</cp:coreProperties>
</file>